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r="http://schemas.openxmlformats.org/officeDocument/2006/relationships" xmlns:mc="http://schemas.openxmlformats.org/markup-compatibility/2006" xmlns:wp="http://schemas.openxmlformats.org/drawingml/2006/wordprocessingDrawing" xmlns:v="urn:schemas-microsoft-com:vml" xmlns:w10="urn:schemas-microsoft-com:office:word">
  <w:body>
    <w:p>
      <w:pPr>
        <w:pageBreakBefore w:val="off"/>
        <w:tabs/>
        <w:wordWrap w:val="off"/>
        <w:spacing w:before="500" w:after="0" w:line="580" w:lineRule="atLeast"/>
        <w:ind w:left="0" w:right="0"/>
        <w:jc w:val="center"/>
        <w:textAlignment w:val="baseline"/>
        <w:rPr>
          <w:sz w:val="42"/>
        </w:rPr>
      </w:pPr>
      <w:bookmarkStart w:name="" w:id="1001"/>
      <w:r>
        <w:rPr>
          <w:rFonts w:ascii="宋体" w:hAnsi="宋体" w:cs="宋体" w:eastAsia="宋体"/>
          <w:sz w:val="42"/>
          <w:spacing w:val="0"/>
          <w:color w:val="000000"/>
          <w:b w:val="off"/>
          <w:i w:val="off"/>
        </w:rPr>
        <w:t>山东省教育厅等4部门</w:t>
      </w:r>
      <w:bookmarkEnd w:id="1001"/>
    </w:p>
    <w:p>
      <w:pPr>
        <w:pageBreakBefore w:val="off"/>
        <w:tabs/>
        <w:wordWrap w:val="off"/>
        <w:spacing w:before="0" w:after="0" w:line="580" w:lineRule="atLeast"/>
        <w:ind w:left="0" w:right="0"/>
        <w:jc w:val="center"/>
        <w:textAlignment w:val="baseline"/>
        <w:rPr>
          <w:sz w:val="42"/>
        </w:rPr>
      </w:pPr>
      <w:bookmarkStart w:name="" w:id="1002"/>
      <w:r>
        <w:rPr>
          <w:rFonts w:ascii="宋体" w:hAnsi="宋体" w:cs="宋体" w:eastAsia="宋体"/>
          <w:sz w:val="42"/>
          <w:spacing w:val="0"/>
          <w:color w:val="000000"/>
          <w:b w:val="off"/>
          <w:i w:val="off"/>
        </w:rPr>
        <w:t>关于举办第十八届山东省职业院校</w:t>
      </w:r>
      <w:bookmarkEnd w:id="1002"/>
    </w:p>
    <w:p>
      <w:pPr>
        <w:pageBreakBefore w:val="off"/>
        <w:tabs/>
        <w:wordWrap w:val="off"/>
        <w:spacing w:before="0" w:after="0" w:line="580" w:lineRule="atLeast"/>
        <w:ind w:left="0" w:right="0"/>
        <w:jc w:val="center"/>
        <w:textAlignment w:val="baseline"/>
        <w:rPr>
          <w:sz w:val="42"/>
        </w:rPr>
      </w:pPr>
      <w:bookmarkStart w:name="" w:id="1003"/>
      <w:r>
        <w:rPr>
          <w:rFonts w:ascii="宋体" w:hAnsi="宋体" w:cs="宋体" w:eastAsia="宋体"/>
          <w:sz w:val="42"/>
          <w:spacing w:val="0"/>
          <w:color w:val="000000"/>
          <w:b w:val="off"/>
          <w:i w:val="off"/>
        </w:rPr>
        <w:t>技能大赛的通知</w:t>
      </w:r>
      <w:bookmarkEnd w:id="1003"/>
    </w:p>
    <w:p>
      <w:pPr>
        <w:pageBreakBefore w:val="off"/>
        <w:tabs/>
        <w:wordWrap w:val="off"/>
        <w:spacing w:before="0" w:after="0" w:line="420" w:lineRule="atLeast"/>
        <w:ind w:left="0" w:right="0"/>
        <w:jc w:val="center"/>
        <w:textAlignment w:val="baseline"/>
        <w:rPr>
          <w:sz w:val="30"/>
        </w:rPr>
      </w:pPr>
      <w:bookmarkStart w:name="" w:id="1004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鲁教职函〔2025〕22号</w:t>
      </w:r>
      <w:bookmarkEnd w:id="1004"/>
    </w:p>
    <w:p>
      <w:pPr>
        <w:pageBreakBefore w:val="off"/>
        <w:tabs/>
        <w:wordWrap w:val="off"/>
        <w:spacing w:before="0" w:after="0" w:line="640" w:lineRule="exact"/>
        <w:ind w:left="0" w:right="0"/>
        <w:jc w:val="center"/>
        <w:textAlignment w:val="baseline"/>
        <w:rPr>
          <w:sz w:val="28"/>
        </w:rPr>
      </w:pPr>
      <w:bookmarkStart w:name="" w:id="1005"/>
      <w:r>
        <w:rPr>
          <w:rFonts w:ascii="宋体" w:hAnsi="宋体" w:cs="宋体" w:eastAsia="宋体"/>
          <w:sz w:val="28"/>
          <w:spacing w:val="0"/>
          <w:color w:val="000000"/>
          <w:b w:val="off"/>
          <w:i w:val="off"/>
        </w:rPr>
        <w:t/>
      </w:r>
      <w:bookmarkEnd w:id="1005"/>
    </w:p>
    <w:p>
      <w:pPr>
        <w:pageBreakBefore w:val="off"/>
        <w:tabs/>
        <w:wordWrap w:val="off"/>
        <w:spacing w:before="0" w:after="0" w:line="640" w:lineRule="atLeast"/>
        <w:ind w:left="0" w:right="100"/>
        <w:jc w:val="both"/>
        <w:textAlignment w:val="baseline"/>
        <w:rPr>
          <w:sz w:val="28"/>
        </w:rPr>
      </w:pPr>
      <w:bookmarkStart w:name="" w:id="1006"/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各市教育(教体)局、工业和信息化局、人力资源社会保障局、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农业农村局，各高等职业院校，有关普通本科学校：</w:t>
      </w:r>
      <w:bookmarkEnd w:id="1006"/>
    </w:p>
    <w:p>
      <w:pPr>
        <w:pageBreakBefore w:val="off"/>
        <w:tabs/>
        <w:wordWrap w:val="off"/>
        <w:spacing w:before="0" w:after="0" w:line="640" w:lineRule="atLeast"/>
        <w:ind w:left="0" w:right="0" w:firstLine="580"/>
        <w:jc w:val="both"/>
        <w:textAlignment w:val="baseline"/>
        <w:rPr>
          <w:sz w:val="28"/>
        </w:rPr>
      </w:pPr>
      <w:bookmarkStart w:name="" w:id="1007"/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为深入贯彻落实教育强国、教育强省建设规划纲要和三年行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动计划，提升职业院校技能大赛内涵质量，发挥大赛对高技能人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才培养的引领作用，根据《山东省人民政府办公厅关于在全省举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办职业院校技能大赛的通知》(鲁政办字〔2011〕14号)要求，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经研究，决定参照2025年世界职业院校技能大赛实施方案，举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办第十八届山东省职业院校技能大赛。现将有关事项通知如下：</w:t>
      </w:r>
      <w:bookmarkEnd w:id="1007"/>
    </w:p>
    <w:p>
      <w:pPr>
        <w:pageBreakBefore w:val="off"/>
        <w:tabs/>
        <w:wordWrap w:val="off"/>
        <w:spacing w:before="0" w:after="0" w:line="440" w:lineRule="atLeast"/>
        <w:ind w:left="560" w:right="0"/>
        <w:jc w:val="both"/>
        <w:textAlignment w:val="baseline"/>
        <w:rPr>
          <w:sz w:val="32"/>
        </w:rPr>
      </w:pPr>
      <w:bookmarkStart w:name="" w:id="1008"/>
      <w:r>
        <w:rPr>
          <w:rFonts w:ascii="楷体" w:hAnsi="楷体" w:cs="楷体" w:eastAsia="楷体"/>
          <w:sz w:val="32"/>
          <w:spacing w:val="0"/>
          <w:color w:val="000000"/>
          <w:b w:val="off"/>
          <w:i w:val="off"/>
        </w:rPr>
        <w:t>一、主办单位</w:t>
      </w:r>
      <w:bookmarkEnd w:id="1008"/>
    </w:p>
    <w:p>
      <w:pPr>
        <w:pageBreakBefore w:val="off"/>
        <w:tabs/>
        <w:wordWrap w:val="off"/>
        <w:spacing w:before="0" w:after="0" w:line="640" w:lineRule="atLeast"/>
        <w:ind w:left="0" w:right="20" w:firstLine="580"/>
        <w:jc w:val="both"/>
        <w:textAlignment w:val="baseline"/>
        <w:rPr>
          <w:sz w:val="28"/>
        </w:rPr>
      </w:pPr>
      <w:bookmarkStart w:name="" w:id="1009"/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山东省教育厅、山东省工业和信息化厅、山东省人力资源和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社会保障厅、山东省农业农村厅。</w:t>
      </w:r>
      <w:bookmarkEnd w:id="1009"/>
    </w:p>
    <w:p>
      <w:pPr>
        <w:pageBreakBefore w:val="off"/>
        <w:tabs/>
        <w:wordWrap w:val="off"/>
        <w:spacing w:before="0" w:after="0" w:line="440" w:lineRule="atLeast"/>
        <w:ind w:left="560" w:right="0" w:firstLine="20"/>
        <w:jc w:val="both"/>
        <w:textAlignment w:val="baseline"/>
        <w:rPr>
          <w:sz w:val="32"/>
        </w:rPr>
      </w:pPr>
      <w:bookmarkStart w:name="" w:id="1010"/>
      <w:r>
        <w:rPr>
          <w:rFonts w:ascii="楷体" w:hAnsi="楷体" w:cs="楷体" w:eastAsia="楷体"/>
          <w:sz w:val="32"/>
          <w:spacing w:val="0"/>
          <w:color w:val="000000"/>
          <w:b w:val="off"/>
          <w:i w:val="off"/>
        </w:rPr>
        <w:t>二、组织机构</w:t>
      </w:r>
      <w:bookmarkEnd w:id="1010"/>
    </w:p>
    <w:p>
      <w:pPr>
        <w:pageBreakBefore w:val="off"/>
        <w:tabs/>
        <w:wordWrap w:val="off"/>
        <w:spacing w:before="0" w:after="0" w:line="440" w:lineRule="atLeast"/>
        <w:ind w:left="720" w:right="0"/>
        <w:jc w:val="both"/>
        <w:textAlignment w:val="baseline"/>
        <w:rPr>
          <w:sz w:val="32"/>
        </w:rPr>
      </w:pPr>
      <w:bookmarkStart w:name="" w:id="1011"/>
      <w:r>
        <w:rPr>
          <w:rFonts w:ascii="楷体" w:hAnsi="楷体" w:cs="楷体" w:eastAsia="楷体"/>
          <w:sz w:val="32"/>
          <w:spacing w:val="0"/>
          <w:color w:val="000000"/>
          <w:b w:val="off"/>
          <w:i w:val="off"/>
        </w:rPr>
        <w:t>(一)大赛组委会</w:t>
      </w:r>
      <w:bookmarkEnd w:id="1011"/>
    </w:p>
    <w:p>
      <w:pPr>
        <w:pageBreakBefore w:val="off"/>
        <w:tabs/>
        <w:wordWrap w:val="off"/>
        <w:spacing w:before="0" w:after="0" w:line="440" w:lineRule="atLeast"/>
        <w:ind w:left="580" w:right="0"/>
        <w:jc w:val="both"/>
        <w:textAlignment w:val="baseline"/>
        <w:rPr>
          <w:sz w:val="32"/>
        </w:rPr>
      </w:pPr>
      <w:bookmarkStart w:name="" w:id="1012"/>
      <w:r>
        <w:rPr>
          <w:rFonts w:ascii="楷体" w:hAnsi="楷体" w:cs="楷体" w:eastAsia="楷体"/>
          <w:sz w:val="32"/>
          <w:spacing w:val="0"/>
          <w:color w:val="000000"/>
          <w:b w:val="off"/>
          <w:i w:val="off"/>
        </w:rPr>
        <w:t>主任委员</w:t>
      </w:r>
      <w:bookmarkEnd w:id="1012"/>
    </w:p>
    <w:p>
      <w:pPr>
        <w:pageBreakBefore w:val="off"/>
        <w:tabs/>
        <w:wordWrap w:val="off"/>
        <w:spacing w:before="0" w:after="0" w:line="640" w:lineRule="atLeast"/>
        <w:ind w:left="560" w:right="180" w:firstLine="20"/>
        <w:jc w:val="both"/>
        <w:textAlignment w:val="baseline"/>
        <w:rPr>
          <w:sz w:val="28"/>
        </w:rPr>
        <w:sectPr>
          <w:footerReference r:id="rId3"/>
          <w:headerReference r:id="rId4" w:type="default"/>
          <w:pgSz w:w="11900" w:h="16820"/>
          <w:pgMar w:left="1780" w:top="1420" w:right="1780" w:bottom="1420" w:header="1120" w:footer="1120"/>
          <w:cols w:num="1"/>
        </w:sectPr>
      </w:pPr>
      <w:bookmarkStart w:name="" w:id="1013"/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邢顺峰  省委教育工委副书记，省教育厅党组副书记、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副厅长，省教育厅(省委教育工委)一级巡视员</w:t>
      </w:r>
      <w:r>
        <w:rPr>
          <w:rFonts w:ascii="仿宋" w:hAnsi="仿宋" w:cs="仿宋" w:eastAsia="仿宋"/>
          <w:sz w:val="28"/>
          <w:spacing w:val="0"/>
          <w:color w:val="000000"/>
          <w:b w:val="off"/>
          <w:i w:val="off"/>
        </w:rPr>
        <w:t>副主任委员</w:t>
      </w:r>
      <w:bookmarkEnd w:id="1013"/>
    </w:p>
    <w:p>
      <w:pPr>
        <w:pageBreakBefore w:val="off"/>
        <w:tabs/>
        <w:wordWrap w:val="off"/>
        <w:spacing w:before="62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14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李  鹏  省委教育工委委员，省教育厅党组成员、副厅长</w:t>
      </w:r>
      <w:bookmarkEnd w:id="1014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15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王  晓  省工业和信息化厅党组成员、副厅长</w:t>
      </w:r>
      <w:bookmarkEnd w:id="1015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16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潘文勇  省人力资源社会保障厅党组成员、副厅长</w:t>
      </w:r>
      <w:bookmarkEnd w:id="1016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17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刘振杰  省农业农村厅党组成员(副厅级)</w:t>
      </w:r>
      <w:bookmarkEnd w:id="1017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18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孙启高  省教育科学研究院党委书记、院长</w:t>
      </w:r>
      <w:bookmarkEnd w:id="1018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19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委</w:t>
      </w:r>
      <w:r>
        <w:rPr>
          <w:rFonts w:ascii="仿宋" w:hAnsi="仿宋" w:cs="仿宋" w:eastAsia="仿宋"/>
          <w:sz w:val="30"/>
          <w:spacing w:val="0"/>
          <w:color w:val="000000"/>
          <w:b w:val="on"/>
          <w:i w:val="off"/>
        </w:rPr>
        <w:t xml:space="preserve">  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员</w:t>
      </w:r>
      <w:bookmarkEnd w:id="1019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0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陈志浩  省教育厅职业教育处处长</w:t>
      </w:r>
      <w:bookmarkEnd w:id="1020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1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齐  鲁  省教育厅财务处处长</w:t>
      </w:r>
      <w:bookmarkEnd w:id="1021"/>
    </w:p>
    <w:p>
      <w:pPr>
        <w:pageBreakBefore w:val="off"/>
        <w:tabs/>
        <w:wordWrap w:val="off"/>
        <w:spacing w:before="0" w:after="0" w:line="600" w:lineRule="atLeast"/>
        <w:ind w:left="1600" w:right="0" w:hanging="1240"/>
        <w:jc w:val="both"/>
        <w:textAlignment w:val="baseline"/>
        <w:rPr>
          <w:sz w:val="30"/>
        </w:rPr>
      </w:pPr>
      <w:bookmarkStart w:name="" w:id="1022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刘克征  省工业和信息化厅产业人才处(培训与交流处)处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长</w:t>
      </w:r>
      <w:bookmarkEnd w:id="1022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3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刘海鹏  省人力资源社会保障厅职业能力建设处处长</w:t>
      </w:r>
      <w:bookmarkEnd w:id="1023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4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杨  超  省农业农村厅科技教育处副处长</w:t>
      </w:r>
      <w:bookmarkEnd w:id="1024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5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曾庆伟  省教育科学研究院副院长</w:t>
      </w:r>
      <w:bookmarkEnd w:id="1025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6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办公室主任</w:t>
      </w:r>
      <w:bookmarkEnd w:id="1026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7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陈志浩(兼)</w:t>
      </w:r>
      <w:bookmarkEnd w:id="1027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28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大赛组委会办公室设在省教育厅职业教育处。</w:t>
      </w:r>
      <w:bookmarkEnd w:id="1028"/>
    </w:p>
    <w:p>
      <w:pPr>
        <w:pageBreakBefore w:val="off"/>
        <w:tabs/>
        <w:wordWrap w:val="off"/>
        <w:spacing w:before="200" w:after="0" w:line="460" w:lineRule="atLeast"/>
        <w:ind w:left="500" w:right="0"/>
        <w:jc w:val="both"/>
        <w:textAlignment w:val="baseline"/>
        <w:rPr>
          <w:sz w:val="33"/>
        </w:rPr>
      </w:pPr>
      <w:bookmarkStart w:name="" w:id="1029"/>
      <w:r>
        <w:rPr>
          <w:rFonts w:ascii="楷体" w:hAnsi="楷体" w:cs="楷体" w:eastAsia="楷体"/>
          <w:sz w:val="33"/>
          <w:spacing w:val="0"/>
          <w:color w:val="000000"/>
          <w:b w:val="off"/>
          <w:i w:val="off"/>
        </w:rPr>
        <w:t>(二)大赛执委会</w:t>
      </w:r>
      <w:bookmarkEnd w:id="1029"/>
    </w:p>
    <w:p>
      <w:pPr>
        <w:pageBreakBefore w:val="off"/>
        <w:tabs/>
        <w:wordWrap w:val="off"/>
        <w:spacing w:before="220" w:after="0" w:line="400" w:lineRule="atLeast"/>
        <w:ind w:left="360" w:right="0"/>
        <w:jc w:val="both"/>
        <w:textAlignment w:val="baseline"/>
        <w:rPr>
          <w:sz w:val="29"/>
        </w:rPr>
      </w:pPr>
      <w:bookmarkStart w:name="" w:id="1030"/>
      <w:r>
        <w:rPr>
          <w:rFonts w:ascii="仿宋" w:hAnsi="仿宋" w:cs="仿宋" w:eastAsia="仿宋"/>
          <w:sz w:val="29"/>
          <w:spacing w:val="0"/>
          <w:color w:val="000000"/>
          <w:b w:val="on"/>
          <w:i w:val="off"/>
        </w:rPr>
        <w:t>主任委员</w:t>
      </w:r>
      <w:bookmarkEnd w:id="1030"/>
    </w:p>
    <w:p>
      <w:pPr>
        <w:pageBreakBefore w:val="off"/>
        <w:tabs/>
        <w:wordWrap w:val="off"/>
        <w:spacing w:before="220" w:after="0" w:line="600" w:lineRule="atLeast"/>
        <w:ind w:left="360" w:right="200"/>
        <w:jc w:val="both"/>
        <w:textAlignment w:val="baseline"/>
        <w:rPr>
          <w:sz w:val="30"/>
        </w:rPr>
      </w:pPr>
      <w:bookmarkStart w:name="" w:id="1031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李  鹏  省委教育工委委员，省教育厅党组成员、副厅长</w:t>
      </w:r>
      <w:r>
        <w:rPr>
          <w:rFonts w:ascii="仿宋" w:hAnsi="仿宋" w:cs="仿宋" w:eastAsia="仿宋"/>
          <w:sz w:val="30"/>
          <w:spacing w:val="0"/>
          <w:color w:val="000000"/>
          <w:b w:val="on"/>
          <w:i w:val="off"/>
        </w:rPr>
        <w:t>常务副主任委员</w:t>
      </w:r>
      <w:bookmarkEnd w:id="1031"/>
    </w:p>
    <w:p>
      <w:pPr>
        <w:pageBreakBefore w:val="off"/>
        <w:tabs/>
        <w:wordWrap w:val="off"/>
        <w:spacing w:before="0" w:after="0" w:line="600" w:lineRule="atLeast"/>
        <w:ind w:left="360" w:right="0"/>
        <w:jc w:val="both"/>
        <w:textAlignment w:val="baseline"/>
        <w:rPr>
          <w:sz w:val="30"/>
        </w:rPr>
      </w:pPr>
      <w:bookmarkStart w:name="" w:id="1032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孙启高  省教育科学研究院党委书记、院长</w:t>
      </w:r>
      <w:bookmarkEnd w:id="1032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30"/>
        </w:rPr>
      </w:pPr>
      <w:bookmarkStart w:name="" w:id="1033"/>
      <w:r>
        <w:rPr>
          <w:rFonts w:ascii="宋体" w:hAnsi="宋体" w:cs="宋体" w:eastAsia="宋体"/>
          <w:sz w:val="30"/>
          <w:spacing w:val="0"/>
          <w:color w:val="000000"/>
          <w:b w:val="off"/>
          <w:i w:val="off"/>
        </w:rPr>
        <w:t/>
      </w:r>
      <w:bookmarkEnd w:id="1033"/>
    </w:p>
    <w:p>
      <w:pPr>
        <w:pageBreakBefore w:val="off"/>
        <w:tabs/>
        <w:wordWrap w:val="off"/>
        <w:spacing w:before="0" w:after="0" w:line="220" w:lineRule="atLeast"/>
        <w:ind w:left="60" w:right="0"/>
        <w:jc w:val="both"/>
        <w:textAlignment w:val="baseline"/>
        <w:rPr>
          <w:sz w:val="15"/>
        </w:rPr>
        <w:sectPr>
          <w:footerReference r:id="rId5"/>
          <w:headerReference r:id="rId6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034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—2—</w:t>
      </w:r>
      <w:bookmarkEnd w:id="1034"/>
    </w:p>
    <w:p>
      <w:pPr>
        <w:pageBreakBefore w:val="off"/>
        <w:tabs/>
        <w:wordWrap w:val="off"/>
        <w:spacing w:before="54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35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副主任委员</w:t>
      </w:r>
      <w:bookmarkEnd w:id="1035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36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陈志浩  省教育厅职业教育处处长</w:t>
      </w:r>
      <w:bookmarkEnd w:id="1036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37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齐 鲁  省教育厅财务处处长</w:t>
      </w:r>
      <w:bookmarkEnd w:id="1037"/>
    </w:p>
    <w:p>
      <w:pPr>
        <w:pageBreakBefore w:val="off"/>
        <w:tabs/>
        <w:wordWrap w:val="off"/>
        <w:spacing w:before="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38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曾庆伟  省教育科学研究院副院长</w:t>
      </w:r>
      <w:bookmarkEnd w:id="1038"/>
    </w:p>
    <w:p>
      <w:pPr>
        <w:pageBreakBefore w:val="off"/>
        <w:tabs/>
        <w:wordWrap w:val="off"/>
        <w:spacing w:before="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39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委</w:t>
      </w:r>
      <w:r>
        <w:rPr>
          <w:rFonts w:ascii="仿宋" w:hAnsi="仿宋" w:cs="仿宋" w:eastAsia="仿宋"/>
          <w:sz w:val="29"/>
          <w:spacing w:val="0"/>
          <w:color w:val="000000"/>
          <w:b w:val="on"/>
          <w:i w:val="off"/>
        </w:rPr>
        <w:t xml:space="preserve">  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员</w:t>
      </w:r>
      <w:bookmarkEnd w:id="1039"/>
    </w:p>
    <w:p>
      <w:pPr>
        <w:pageBreakBefore w:val="off"/>
        <w:tabs/>
        <w:wordWrap w:val="off"/>
        <w:spacing w:before="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0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各承办院校赛事组织工作委员会主任(名单略)</w:t>
      </w:r>
      <w:bookmarkEnd w:id="1040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1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吕序锋 省教育厅职业教育处一级调研员</w:t>
      </w:r>
      <w:bookmarkEnd w:id="1041"/>
    </w:p>
    <w:p>
      <w:pPr>
        <w:pageBreakBefore w:val="off"/>
        <w:tabs/>
        <w:wordWrap w:val="off"/>
        <w:spacing w:before="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2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李寿冰 省教育科学研究院职教中心主任</w:t>
      </w:r>
      <w:bookmarkEnd w:id="1042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3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办公室主任</w:t>
      </w:r>
      <w:bookmarkEnd w:id="1043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4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李寿冰(兼)</w:t>
      </w:r>
      <w:bookmarkEnd w:id="1044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5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大赛执委会办公室设在省教育科学研究院。</w:t>
      </w:r>
      <w:bookmarkEnd w:id="1045"/>
    </w:p>
    <w:p>
      <w:pPr>
        <w:pageBreakBefore w:val="off"/>
        <w:tabs/>
        <w:wordWrap w:val="off"/>
        <w:spacing w:before="0" w:after="0" w:line="520" w:lineRule="atLeast"/>
        <w:ind w:left="0" w:right="80" w:firstLine="620"/>
        <w:jc w:val="both"/>
        <w:textAlignment w:val="baseline"/>
        <w:rPr>
          <w:sz w:val="29"/>
        </w:rPr>
      </w:pPr>
      <w:bookmarkStart w:name="" w:id="1046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成立承办院校赛事组织工作委员会，在大赛执委会领导下，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负责赛事的具体保障和实施工作。</w:t>
      </w:r>
      <w:bookmarkEnd w:id="1046"/>
    </w:p>
    <w:p>
      <w:pPr>
        <w:pageBreakBefore w:val="off"/>
        <w:tabs/>
        <w:wordWrap w:val="off"/>
        <w:spacing w:before="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7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t>三、比赛安排</w:t>
      </w:r>
      <w:bookmarkEnd w:id="1047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48"/>
      <w:r>
        <w:rPr>
          <w:rFonts w:ascii="楷体" w:hAnsi="楷体" w:cs="楷体" w:eastAsia="楷体"/>
          <w:sz w:val="29"/>
          <w:spacing w:val="0"/>
          <w:color w:val="000000"/>
          <w:b w:val="off"/>
          <w:i w:val="off"/>
        </w:rPr>
        <w:t>(一)组别设置。</w:t>
      </w:r>
      <w:bookmarkEnd w:id="1048"/>
    </w:p>
    <w:p>
      <w:pPr>
        <w:pageBreakBefore w:val="off"/>
        <w:tabs/>
        <w:wordWrap w:val="off"/>
        <w:spacing w:before="0" w:after="0" w:line="520" w:lineRule="atLeast"/>
        <w:ind w:left="0" w:right="0" w:firstLine="620"/>
        <w:jc w:val="both"/>
        <w:textAlignment w:val="baseline"/>
        <w:rPr>
          <w:sz w:val="29"/>
        </w:rPr>
      </w:pPr>
      <w:bookmarkStart w:name="" w:id="1049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大赛设中等职业教育组、高等职业教育组(简称中职组、高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职组)。</w:t>
      </w:r>
      <w:bookmarkEnd w:id="1049"/>
    </w:p>
    <w:p>
      <w:pPr>
        <w:pageBreakBefore w:val="off"/>
        <w:tabs/>
        <w:wordWrap w:val="off"/>
        <w:spacing w:before="180" w:after="0" w:line="520" w:lineRule="atLeast"/>
        <w:ind w:left="620" w:right="0"/>
        <w:jc w:val="both"/>
        <w:textAlignment w:val="baseline"/>
        <w:rPr>
          <w:sz w:val="29"/>
        </w:rPr>
      </w:pPr>
      <w:bookmarkStart w:name="" w:id="1050"/>
      <w:r>
        <w:rPr>
          <w:rFonts w:ascii="楷体" w:hAnsi="楷体" w:cs="楷体" w:eastAsia="楷体"/>
          <w:sz w:val="29"/>
          <w:spacing w:val="0"/>
          <w:color w:val="000000"/>
          <w:b w:val="off"/>
          <w:i w:val="off"/>
        </w:rPr>
        <w:t>(二)赛道设置。</w:t>
      </w:r>
      <w:bookmarkEnd w:id="1050"/>
    </w:p>
    <w:p>
      <w:pPr>
        <w:pageBreakBefore w:val="off"/>
        <w:tabs/>
        <w:wordWrap w:val="off"/>
        <w:spacing w:before="0" w:after="0" w:line="520" w:lineRule="atLeast"/>
        <w:ind w:left="0" w:right="0" w:firstLine="620"/>
        <w:jc w:val="both"/>
        <w:textAlignment w:val="baseline"/>
        <w:rPr>
          <w:sz w:val="29"/>
        </w:rPr>
      </w:pPr>
      <w:bookmarkStart w:name="" w:id="1051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参照国民经济行业分类和职业教育专业设置，充分考虑我省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产业发展方向、重点行业、民生福祉密切相关产业和生产实践需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要，设置中职组36个赛道、高职组41个赛道(见附件1、2)。</w:t>
      </w:r>
      <w:bookmarkEnd w:id="1051"/>
    </w:p>
    <w:p>
      <w:pPr>
        <w:pageBreakBefore w:val="off"/>
        <w:tabs/>
        <w:wordWrap w:val="off"/>
        <w:spacing w:before="0" w:after="0" w:line="520" w:lineRule="exact"/>
        <w:ind w:left="0" w:right="0"/>
        <w:jc w:val="both"/>
        <w:textAlignment w:val="baseline"/>
        <w:rPr>
          <w:sz w:val="29"/>
        </w:rPr>
      </w:pPr>
      <w:bookmarkStart w:name="" w:id="1052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t/>
      </w:r>
      <w:bookmarkEnd w:id="1052"/>
    </w:p>
    <w:p>
      <w:pPr>
        <w:pageBreakBefore w:val="off"/>
        <w:tabs/>
        <w:wordWrap w:val="off"/>
        <w:spacing w:before="0" w:after="0" w:line="200" w:lineRule="atLeast"/>
        <w:ind w:left="0" w:right="260"/>
        <w:jc w:val="right"/>
        <w:textAlignment w:val="baseline"/>
        <w:rPr>
          <w:sz w:val="14"/>
        </w:rPr>
        <w:sectPr>
          <w:footerReference r:id="rId7"/>
          <w:headerReference r:id="rId8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053"/>
      <w:r>
        <w:rPr>
          <w:rFonts w:ascii="仿宋" w:hAnsi="仿宋" w:cs="仿宋" w:eastAsia="仿宋"/>
          <w:sz w:val="14"/>
          <w:spacing w:val="0"/>
          <w:color w:val="000000"/>
          <w:b w:val="off"/>
          <w:i w:val="off"/>
        </w:rPr>
        <w:t>—3—</w:t>
      </w:r>
      <w:bookmarkEnd w:id="1053"/>
    </w:p>
    <w:p>
      <w:pPr>
        <w:pageBreakBefore w:val="off"/>
        <w:tabs/>
        <w:wordWrap w:val="off"/>
        <w:spacing w:before="620" w:after="0" w:line="560" w:lineRule="atLeast"/>
        <w:ind w:left="780" w:right="0"/>
        <w:jc w:val="both"/>
        <w:textAlignment w:val="baseline"/>
        <w:rPr>
          <w:sz w:val="30"/>
        </w:rPr>
      </w:pPr>
      <w:bookmarkStart w:name="" w:id="1054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(三)比赛时间。</w:t>
      </w:r>
      <w:bookmarkEnd w:id="1054"/>
    </w:p>
    <w:p>
      <w:pPr>
        <w:pageBreakBefore w:val="off"/>
        <w:tabs/>
        <w:wordWrap w:val="off"/>
        <w:spacing w:before="0" w:after="0" w:line="560" w:lineRule="atLeast"/>
        <w:ind w:left="0" w:right="0" w:firstLine="660"/>
        <w:jc w:val="both"/>
        <w:textAlignment w:val="baseline"/>
        <w:rPr>
          <w:sz w:val="30"/>
        </w:rPr>
      </w:pPr>
      <w:bookmarkStart w:name="" w:id="1055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比赛分为初赛和决赛两个阶段。初赛由各市、各高校分别自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行组织；决赛拟于 2025年11月至12月举行，在省大赛组委会、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执委会领导下，由各承办院校赛事组织工作委员会具体组织实施，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具体时间另行通知。</w:t>
      </w:r>
      <w:bookmarkEnd w:id="1055"/>
    </w:p>
    <w:p>
      <w:pPr>
        <w:pageBreakBefore w:val="off"/>
        <w:tabs/>
        <w:wordWrap w:val="off"/>
        <w:spacing w:before="0" w:after="0" w:line="560" w:lineRule="atLeast"/>
        <w:ind w:left="780" w:right="0"/>
        <w:jc w:val="both"/>
        <w:textAlignment w:val="baseline"/>
        <w:rPr>
          <w:sz w:val="30"/>
        </w:rPr>
      </w:pPr>
      <w:bookmarkStart w:name="" w:id="1056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(四)参赛名额。</w:t>
      </w:r>
      <w:bookmarkEnd w:id="1056"/>
    </w:p>
    <w:p>
      <w:pPr>
        <w:pageBreakBefore w:val="off"/>
        <w:tabs/>
        <w:wordWrap w:val="off"/>
        <w:spacing w:before="0" w:after="0" w:line="560" w:lineRule="atLeast"/>
        <w:ind w:left="0" w:right="20" w:firstLine="660"/>
        <w:jc w:val="both"/>
        <w:textAlignment w:val="baseline"/>
        <w:rPr>
          <w:sz w:val="30"/>
        </w:rPr>
      </w:pPr>
      <w:bookmarkStart w:name="" w:id="1057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中职组以市为单位、高职组以学校为单位组队参加决赛。中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职组“智能装备应用”、“汽车制造与维修”、“新一代信息技术”、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“康复治疗与护理”、“商贸”、“教育与体育”等6个赛道每市参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赛队伍不超过3支，其他赛道每市参赛队伍不超过2支。高职组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各赛道每所学校参赛队伍限报1支。</w:t>
      </w:r>
      <w:bookmarkEnd w:id="1057"/>
    </w:p>
    <w:p>
      <w:pPr>
        <w:pageBreakBefore w:val="off"/>
        <w:tabs/>
        <w:wordWrap w:val="off"/>
        <w:spacing w:before="0" w:after="0" w:line="560" w:lineRule="atLeast"/>
        <w:ind w:left="0" w:right="40" w:firstLine="660"/>
        <w:jc w:val="both"/>
        <w:textAlignment w:val="baseline"/>
        <w:rPr>
          <w:sz w:val="30"/>
        </w:rPr>
      </w:pPr>
      <w:bookmarkStart w:name="" w:id="1058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获2025年世界职业院校技能大赛总决赛争夺赛(不含国际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组)金牌的中职学校所在市、高校，每获一枚金牌，可在对应赛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道增加一支参赛队伍。</w:t>
      </w:r>
      <w:bookmarkEnd w:id="1058"/>
    </w:p>
    <w:p>
      <w:pPr>
        <w:pageBreakBefore w:val="off"/>
        <w:tabs/>
        <w:wordWrap w:val="off"/>
        <w:spacing w:before="0" w:after="0" w:line="560" w:lineRule="atLeast"/>
        <w:ind w:left="780" w:right="0"/>
        <w:jc w:val="both"/>
        <w:textAlignment w:val="baseline"/>
        <w:rPr>
          <w:sz w:val="30"/>
        </w:rPr>
      </w:pPr>
      <w:bookmarkStart w:name="" w:id="1059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(五)参赛要求。</w:t>
      </w:r>
      <w:bookmarkEnd w:id="1059"/>
    </w:p>
    <w:p>
      <w:pPr>
        <w:pageBreakBefore w:val="off"/>
        <w:tabs/>
        <w:wordWrap w:val="off"/>
        <w:spacing w:before="0" w:after="0" w:line="560" w:lineRule="atLeast"/>
        <w:ind w:left="0" w:right="20" w:firstLine="660"/>
        <w:jc w:val="both"/>
        <w:textAlignment w:val="baseline"/>
        <w:rPr>
          <w:sz w:val="30"/>
        </w:rPr>
      </w:pPr>
      <w:bookmarkStart w:name="" w:id="1060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1.参赛对象。中职组须为中等职业学校(包括技工学校)全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日制在校学生及2年内(以报名时间为准)毕业生，高职组须为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高职(专科)学校、本科层次职业学校(含普通本科学校职教本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科专业)、普通本科学校专科全日制在校学生及2年内(以报名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时间为准)毕业生。毕业生应为企事业单位职工，报名时需提供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本校毕业证及在工作单位的社保缴费证明或劳务合同。参赛对象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所学专业须为报名参赛赛道对应的专业类包含的专业，人工智能</w:t>
      </w:r>
      <w:bookmarkEnd w:id="1060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5"/>
        </w:rPr>
      </w:pPr>
      <w:bookmarkStart w:name="" w:id="1061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/>
      </w:r>
      <w:bookmarkEnd w:id="1061"/>
    </w:p>
    <w:p>
      <w:pPr>
        <w:pageBreakBefore w:val="off"/>
        <w:tabs/>
        <w:wordWrap w:val="off"/>
        <w:spacing w:before="0" w:after="0" w:line="220" w:lineRule="atLeast"/>
        <w:ind w:left="300" w:right="0"/>
        <w:jc w:val="both"/>
        <w:textAlignment w:val="baseline"/>
        <w:rPr>
          <w:sz w:val="15"/>
        </w:rPr>
        <w:sectPr>
          <w:footerReference r:id="rId9"/>
          <w:headerReference r:id="rId10" w:type="default"/>
          <w:type w:val="nextPage"/>
          <w:pgSz w:w="11900" w:h="16820"/>
          <w:pgMar w:left="1500" w:top="1420" w:right="1500" w:bottom="1420" w:header="1120" w:footer="1120"/>
          <w:cols w:num="1"/>
        </w:sectPr>
      </w:pPr>
      <w:bookmarkStart w:name="" w:id="1062"/>
      <w:r>
        <w:rPr>
          <w:rFonts w:ascii="宋体" w:hAnsi="宋体" w:cs="宋体" w:eastAsia="宋体"/>
          <w:sz w:val="15"/>
          <w:spacing w:val="0"/>
          <w:color w:val="000000"/>
          <w:b w:val="off"/>
          <w:i w:val="off"/>
        </w:rPr>
        <w:t>—4—</w:t>
      </w:r>
      <w:bookmarkEnd w:id="1062"/>
    </w:p>
    <w:p>
      <w:pPr>
        <w:pageBreakBefore w:val="off"/>
        <w:tabs/>
        <w:wordWrap w:val="off"/>
        <w:spacing w:before="560" w:after="0" w:line="540" w:lineRule="atLeast"/>
        <w:ind w:left="0" w:right="0"/>
        <w:jc w:val="both"/>
        <w:textAlignment w:val="baseline"/>
        <w:rPr>
          <w:sz w:val="29"/>
        </w:rPr>
      </w:pPr>
      <w:bookmarkStart w:name="" w:id="1063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赛道的参赛对象不限专业。</w:t>
      </w:r>
      <w:bookmarkEnd w:id="1063"/>
    </w:p>
    <w:p>
      <w:pPr>
        <w:pageBreakBefore w:val="off"/>
        <w:tabs/>
        <w:wordWrap w:val="off"/>
        <w:spacing w:before="0" w:after="0" w:line="540" w:lineRule="atLeast"/>
        <w:ind w:left="0" w:right="0" w:firstLine="600"/>
        <w:jc w:val="both"/>
        <w:textAlignment w:val="baseline"/>
        <w:rPr>
          <w:sz w:val="29"/>
        </w:rPr>
      </w:pPr>
      <w:bookmarkStart w:name="" w:id="1064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五年制高职一至三年级(含三年级)学生参加中职组比赛，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四至五年级学生参加高职组比赛。技师学院相关年级全日制在籍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学生参加高职组比赛。</w:t>
      </w:r>
      <w:bookmarkEnd w:id="1064"/>
    </w:p>
    <w:p>
      <w:pPr>
        <w:pageBreakBefore w:val="off"/>
        <w:tabs/>
        <w:wordWrap w:val="off"/>
        <w:spacing w:before="0" w:after="0" w:line="540" w:lineRule="atLeast"/>
        <w:ind w:left="0" w:right="0" w:firstLine="600"/>
        <w:jc w:val="both"/>
        <w:textAlignment w:val="baseline"/>
        <w:rPr>
          <w:sz w:val="29"/>
        </w:rPr>
      </w:pPr>
      <w:bookmarkStart w:name="" w:id="1065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2.组队方式。以学校为单位组队，不得跨校组队。比赛均为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团体赛，每支参赛队伍不超过4人。同一学校相同赛道参赛队伍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不超过1支(获2025年世界职业院校技能大赛总决赛争夺赛金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牌的学校除外)。凡在2025年世界职业院校技能大赛争夺赛中获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得金奖的选手，不得再参加同一赛道相同组别的比赛。</w:t>
      </w:r>
      <w:bookmarkEnd w:id="1065"/>
    </w:p>
    <w:p>
      <w:pPr>
        <w:pageBreakBefore w:val="off"/>
        <w:tabs/>
        <w:wordWrap w:val="off"/>
        <w:spacing w:before="0" w:after="0" w:line="540" w:lineRule="atLeast"/>
        <w:ind w:left="0" w:right="20" w:firstLine="600"/>
        <w:jc w:val="both"/>
        <w:textAlignment w:val="baseline"/>
        <w:rPr>
          <w:sz w:val="29"/>
        </w:rPr>
      </w:pPr>
      <w:bookmarkStart w:name="" w:id="1066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3.指导教师。每支参赛队伍指导教师不超过2名，且须均为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本校专任教师。</w:t>
      </w:r>
      <w:bookmarkEnd w:id="1066"/>
    </w:p>
    <w:p>
      <w:pPr>
        <w:pageBreakBefore w:val="off"/>
        <w:tabs/>
        <w:wordWrap w:val="off"/>
        <w:spacing w:before="180" w:after="0" w:line="380" w:lineRule="atLeast"/>
        <w:ind w:left="600" w:right="0"/>
        <w:jc w:val="both"/>
        <w:textAlignment w:val="baseline"/>
        <w:rPr>
          <w:sz w:val="28"/>
        </w:rPr>
      </w:pPr>
      <w:bookmarkStart w:name="" w:id="1067"/>
      <w:r>
        <w:rPr>
          <w:rFonts w:ascii="黑体" w:hAnsi="黑体" w:cs="黑体" w:eastAsia="黑体"/>
          <w:sz w:val="28"/>
          <w:spacing w:val="0"/>
          <w:color w:val="000000"/>
          <w:b w:val="off"/>
          <w:i w:val="off"/>
        </w:rPr>
        <w:t>四、参赛项目</w:t>
      </w:r>
      <w:bookmarkEnd w:id="1067"/>
    </w:p>
    <w:p>
      <w:pPr>
        <w:pageBreakBefore w:val="off"/>
        <w:tabs/>
        <w:wordWrap w:val="off"/>
        <w:spacing w:before="200" w:after="0" w:line="540" w:lineRule="atLeast"/>
        <w:ind w:left="740" w:right="0"/>
        <w:jc w:val="both"/>
        <w:textAlignment w:val="baseline"/>
        <w:rPr>
          <w:sz w:val="29"/>
        </w:rPr>
      </w:pPr>
      <w:bookmarkStart w:name="" w:id="1068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(一)项目内容。</w:t>
      </w:r>
      <w:bookmarkEnd w:id="1068"/>
    </w:p>
    <w:p>
      <w:pPr>
        <w:pageBreakBefore w:val="off"/>
        <w:tabs/>
        <w:wordWrap w:val="off"/>
        <w:spacing w:before="0" w:after="0" w:line="540" w:lineRule="atLeast"/>
        <w:ind w:left="0" w:right="20" w:firstLine="600"/>
        <w:jc w:val="both"/>
        <w:textAlignment w:val="baseline"/>
        <w:rPr>
          <w:sz w:val="29"/>
        </w:rPr>
      </w:pPr>
      <w:bookmarkStart w:name="" w:id="1069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参赛队伍依据赛道设置，结合所学专业和教育教学实际，围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绕生产、管理、服务一线真问题、真场景，自主确定参赛项目名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称，自主设计参赛项目内容，自主选择参赛设备，展示真技能。</w:t>
      </w:r>
      <w:bookmarkEnd w:id="1069"/>
    </w:p>
    <w:p>
      <w:pPr>
        <w:pageBreakBefore w:val="off"/>
        <w:tabs/>
        <w:wordWrap w:val="off"/>
        <w:spacing w:before="0" w:after="0" w:line="540" w:lineRule="atLeast"/>
        <w:ind w:left="0" w:right="0" w:firstLine="600"/>
        <w:jc w:val="both"/>
        <w:textAlignment w:val="baseline"/>
        <w:rPr>
          <w:sz w:val="29"/>
        </w:rPr>
      </w:pPr>
      <w:bookmarkStart w:name="" w:id="1070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参赛项目须符合职业岗位要求，操作规范、安全。不得含有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任何违反《中华人民共和国宪法》及其他法律法规的内容。所涉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及的发明创造、专利技术、资源等必须为参赛选手所拥有的清晰、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合法的自主知识产权。参赛项目如有涉密内容，参赛前须进行脱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密处理。如有抄袭盗用他人成果、弄虚作假等行为，一经发现即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取消参赛资格、奖励奖项等相关权利，并自行承担法律责任和相</w:t>
      </w:r>
      <w:bookmarkEnd w:id="1070"/>
    </w:p>
    <w:p>
      <w:pPr>
        <w:pageBreakBefore w:val="off"/>
        <w:tabs/>
        <w:wordWrap w:val="off"/>
        <w:spacing w:before="0" w:after="0" w:line="180" w:lineRule="exact"/>
        <w:ind w:left="0" w:right="0"/>
        <w:jc w:val="both"/>
        <w:textAlignment w:val="baseline"/>
        <w:rPr>
          <w:sz w:val="14"/>
        </w:rPr>
      </w:pPr>
      <w:bookmarkStart w:name="" w:id="1071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1071"/>
    </w:p>
    <w:p>
      <w:pPr>
        <w:pageBreakBefore w:val="off"/>
        <w:tabs/>
        <w:wordWrap w:val="off"/>
        <w:spacing w:before="0" w:after="0" w:line="200" w:lineRule="atLeast"/>
        <w:ind w:left="0" w:right="280"/>
        <w:jc w:val="right"/>
        <w:textAlignment w:val="baseline"/>
        <w:rPr>
          <w:sz w:val="14"/>
        </w:rPr>
        <w:sectPr>
          <w:footerReference r:id="rId11"/>
          <w:headerReference r:id="rId12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072"/>
      <w:r>
        <w:rPr>
          <w:rFonts w:ascii="仿宋" w:hAnsi="仿宋" w:cs="仿宋" w:eastAsia="仿宋"/>
          <w:sz w:val="14"/>
          <w:spacing w:val="0"/>
          <w:color w:val="000000"/>
          <w:b w:val="off"/>
          <w:i w:val="off"/>
        </w:rPr>
        <w:t>—5—</w:t>
      </w:r>
      <w:bookmarkEnd w:id="1072"/>
    </w:p>
    <w:p>
      <w:pPr>
        <w:pageBreakBefore w:val="off"/>
        <w:tabs/>
        <w:wordWrap w:val="off"/>
        <w:spacing w:before="580" w:after="0" w:line="560" w:lineRule="atLeast"/>
        <w:ind w:left="0" w:right="0"/>
        <w:jc w:val="both"/>
        <w:textAlignment w:val="baseline"/>
        <w:rPr>
          <w:sz w:val="29"/>
        </w:rPr>
      </w:pPr>
      <w:bookmarkStart w:name="" w:id="1073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应后果。</w:t>
      </w:r>
      <w:bookmarkEnd w:id="1073"/>
    </w:p>
    <w:p>
      <w:pPr>
        <w:pageBreakBefore w:val="off"/>
        <w:tabs/>
        <w:wordWrap w:val="off"/>
        <w:spacing w:before="200" w:after="0" w:line="560" w:lineRule="atLeast"/>
        <w:ind w:left="720" w:right="0"/>
        <w:jc w:val="both"/>
        <w:textAlignment w:val="baseline"/>
        <w:rPr>
          <w:sz w:val="29"/>
        </w:rPr>
      </w:pPr>
      <w:bookmarkStart w:name="" w:id="1074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(二)项目展示。</w:t>
      </w:r>
      <w:bookmarkEnd w:id="1074"/>
    </w:p>
    <w:p>
      <w:pPr>
        <w:pageBreakBefore w:val="off"/>
        <w:tabs/>
        <w:wordWrap w:val="off"/>
        <w:spacing w:before="0" w:after="0" w:line="560" w:lineRule="atLeast"/>
        <w:ind w:left="0" w:right="0" w:firstLine="580"/>
        <w:jc w:val="both"/>
        <w:textAlignment w:val="baseline"/>
        <w:rPr>
          <w:sz w:val="29"/>
        </w:rPr>
      </w:pPr>
      <w:bookmarkStart w:name="" w:id="1075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参赛队伍根据项目任务，按团队成员分工，同步进行技能操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作和现场讲解。技能操作重点展示专业技能熟练程度、规范程度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以及解决技术难题的创新能力，现场讲解主要介绍总体思路、技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能要点、主要成果、项目创新等。</w:t>
      </w:r>
      <w:bookmarkEnd w:id="1075"/>
    </w:p>
    <w:p>
      <w:pPr>
        <w:pageBreakBefore w:val="off"/>
        <w:tabs/>
        <w:wordWrap w:val="off"/>
        <w:spacing w:before="0" w:after="0" w:line="560" w:lineRule="atLeast"/>
        <w:ind w:left="0" w:right="20" w:firstLine="580"/>
        <w:jc w:val="both"/>
        <w:textAlignment w:val="baseline"/>
        <w:rPr>
          <w:sz w:val="29"/>
        </w:rPr>
      </w:pPr>
      <w:bookmarkStart w:name="" w:id="1076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每个项目比赛时长不超过1小时，由参赛队伍根据项目实际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需要确定，重点突出项目关键环节的技能操作，并进行适当讲解。</w:t>
      </w:r>
      <w:bookmarkEnd w:id="1076"/>
    </w:p>
    <w:p>
      <w:pPr>
        <w:pageBreakBefore w:val="off"/>
        <w:tabs/>
        <w:wordWrap w:val="off"/>
        <w:spacing w:before="200" w:after="0" w:line="560" w:lineRule="atLeast"/>
        <w:ind w:left="580" w:right="0"/>
        <w:jc w:val="both"/>
        <w:textAlignment w:val="baseline"/>
        <w:rPr>
          <w:sz w:val="29"/>
        </w:rPr>
      </w:pPr>
      <w:bookmarkStart w:name="" w:id="1077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t>五、评分要素</w:t>
      </w:r>
      <w:bookmarkEnd w:id="1077"/>
    </w:p>
    <w:p>
      <w:pPr>
        <w:pageBreakBefore w:val="off"/>
        <w:tabs/>
        <w:wordWrap w:val="off"/>
        <w:spacing w:before="0" w:after="0" w:line="560" w:lineRule="atLeast"/>
        <w:ind w:left="0" w:right="20" w:firstLine="580"/>
        <w:jc w:val="both"/>
        <w:textAlignment w:val="baseline"/>
        <w:rPr>
          <w:sz w:val="29"/>
        </w:rPr>
      </w:pPr>
      <w:bookmarkStart w:name="" w:id="1078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从技能水平、职业素养、应用价值、团队合作、创新创意等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五个方面，按权重对参赛项目作整体评价，详见《第十八届山东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省职业院校技能大赛评分要素》(附件 3)。</w:t>
      </w:r>
      <w:bookmarkEnd w:id="1078"/>
    </w:p>
    <w:p>
      <w:pPr>
        <w:pageBreakBefore w:val="off"/>
        <w:tabs/>
        <w:wordWrap w:val="off"/>
        <w:spacing w:before="0" w:after="0" w:line="560" w:lineRule="atLeast"/>
        <w:ind w:left="580" w:right="0"/>
        <w:jc w:val="both"/>
        <w:textAlignment w:val="baseline"/>
        <w:rPr>
          <w:sz w:val="29"/>
        </w:rPr>
      </w:pPr>
      <w:bookmarkStart w:name="" w:id="1079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t>六、奖励办法</w:t>
      </w:r>
      <w:bookmarkEnd w:id="1079"/>
    </w:p>
    <w:p>
      <w:pPr>
        <w:pageBreakBefore w:val="off"/>
        <w:tabs/>
        <w:wordWrap w:val="off"/>
        <w:spacing w:before="0" w:after="0" w:line="560" w:lineRule="atLeast"/>
        <w:ind w:left="0" w:right="0" w:firstLine="720"/>
        <w:jc w:val="both"/>
        <w:textAlignment w:val="baseline"/>
        <w:rPr>
          <w:sz w:val="29"/>
        </w:rPr>
      </w:pPr>
      <w:bookmarkStart w:name="" w:id="1080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(一)各赛道比赛按实际参赛队伍数的10%、20%、30%(小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数点后四舍五入)分设金、银、铜奖。根据《山东省职业院校技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能大赛奖励办法》(鲁教职字〔2011〕6号)，对符合奖励条件的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院校和选手给予奖励。</w:t>
      </w:r>
      <w:bookmarkEnd w:id="1080"/>
    </w:p>
    <w:p>
      <w:pPr>
        <w:pageBreakBefore w:val="off"/>
        <w:tabs/>
        <w:wordWrap w:val="off"/>
        <w:spacing w:before="0" w:after="0" w:line="560" w:lineRule="atLeast"/>
        <w:ind w:left="0" w:right="0" w:firstLine="720"/>
        <w:jc w:val="both"/>
        <w:textAlignment w:val="baseline"/>
        <w:rPr>
          <w:sz w:val="29"/>
        </w:rPr>
      </w:pPr>
      <w:bookmarkStart w:name="" w:id="1081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(二)大赛对获得各赛道金奖的指导教师，颁发“获奖选手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指导教师”证书。</w:t>
      </w:r>
      <w:bookmarkEnd w:id="1081"/>
    </w:p>
    <w:p>
      <w:pPr>
        <w:pageBreakBefore w:val="off"/>
        <w:tabs/>
        <w:wordWrap w:val="off"/>
        <w:spacing w:before="0" w:after="0" w:line="560" w:lineRule="atLeast"/>
        <w:ind w:left="0" w:right="0" w:firstLine="720"/>
        <w:jc w:val="both"/>
        <w:textAlignment w:val="baseline"/>
        <w:rPr>
          <w:sz w:val="29"/>
        </w:rPr>
      </w:pPr>
      <w:bookmarkStart w:name="" w:id="1082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(三)获奖选手升学政策，按照当年普通高校考试招生工作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实施方案相关规定执行。</w:t>
      </w:r>
      <w:bookmarkEnd w:id="1082"/>
    </w:p>
    <w:p>
      <w:pPr>
        <w:pageBreakBefore w:val="off"/>
        <w:tabs/>
        <w:wordWrap w:val="off"/>
        <w:spacing w:before="0" w:after="0" w:line="560" w:lineRule="atLeast"/>
        <w:ind w:left="600" w:right="0"/>
        <w:jc w:val="both"/>
        <w:textAlignment w:val="baseline"/>
        <w:rPr>
          <w:sz w:val="29"/>
        </w:rPr>
      </w:pPr>
      <w:bookmarkStart w:name="" w:id="1083"/>
      <w:r>
        <w:rPr>
          <w:rFonts w:ascii="黑体" w:hAnsi="黑体" w:cs="黑体" w:eastAsia="黑体"/>
          <w:sz w:val="29"/>
          <w:spacing w:val="0"/>
          <w:color w:val="000000"/>
          <w:b w:val="off"/>
          <w:i w:val="off"/>
        </w:rPr>
        <w:t>七、工作要求</w:t>
      </w:r>
      <w:bookmarkEnd w:id="1083"/>
    </w:p>
    <w:p>
      <w:pPr>
        <w:pageBreakBefore w:val="off"/>
        <w:tabs/>
        <w:wordWrap w:val="off"/>
        <w:spacing w:before="0" w:after="0" w:line="200" w:lineRule="exact"/>
        <w:ind w:left="0" w:right="0"/>
        <w:jc w:val="both"/>
        <w:textAlignment w:val="baseline"/>
        <w:rPr>
          <w:sz w:val="14"/>
        </w:rPr>
      </w:pPr>
      <w:bookmarkStart w:name="" w:id="1084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/>
      </w:r>
      <w:bookmarkEnd w:id="1084"/>
    </w:p>
    <w:p>
      <w:pPr>
        <w:pageBreakBefore w:val="off"/>
        <w:tabs/>
        <w:wordWrap w:val="off"/>
        <w:spacing w:before="0" w:after="0" w:line="200" w:lineRule="atLeast"/>
        <w:ind w:left="300" w:right="0"/>
        <w:jc w:val="both"/>
        <w:textAlignment w:val="baseline"/>
        <w:rPr>
          <w:sz w:val="14"/>
        </w:rPr>
        <w:sectPr>
          <w:footerReference r:id="rId13"/>
          <w:headerReference r:id="rId14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085"/>
      <w:r>
        <w:rPr>
          <w:rFonts w:ascii="宋体" w:hAnsi="宋体" w:cs="宋体" w:eastAsia="宋体"/>
          <w:sz w:val="14"/>
          <w:spacing w:val="0"/>
          <w:color w:val="000000"/>
          <w:b w:val="off"/>
          <w:i w:val="off"/>
        </w:rPr>
        <w:t>—6—</w:t>
      </w:r>
      <w:bookmarkEnd w:id="1085"/>
    </w:p>
    <w:p>
      <w:pPr>
        <w:pageBreakBefore w:val="off"/>
        <w:tabs/>
        <w:wordWrap w:val="off"/>
        <w:spacing w:before="600" w:after="0" w:line="580" w:lineRule="atLeast"/>
        <w:ind w:left="0" w:right="0" w:firstLine="720"/>
        <w:jc w:val="both"/>
        <w:textAlignment w:val="baseline"/>
        <w:rPr>
          <w:sz w:val="29"/>
        </w:rPr>
      </w:pPr>
      <w:bookmarkStart w:name="" w:id="1086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（一）加强组织保障。各级教育、工业和信息化、人力资源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社会保障、农业农村等部门要扎实组织好本职责范围内的职业院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校技能大赛，并在政策上给予倾斜、经费和条件上予以充分保障。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各承办院校要健全机构，完善制度，细化流程，强化保障，抓好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实施，确保大赛顺利举办。</w:t>
      </w:r>
      <w:bookmarkEnd w:id="1086"/>
    </w:p>
    <w:p>
      <w:pPr>
        <w:pageBreakBefore w:val="off"/>
        <w:tabs/>
        <w:wordWrap w:val="off"/>
        <w:spacing w:before="0" w:after="0" w:line="580" w:lineRule="atLeast"/>
        <w:ind w:left="0" w:right="0" w:firstLine="720"/>
        <w:jc w:val="both"/>
        <w:textAlignment w:val="baseline"/>
        <w:rPr>
          <w:sz w:val="29"/>
        </w:rPr>
      </w:pPr>
      <w:bookmarkStart w:name="" w:id="1087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（二）组织各项活动。各赛道比赛期间，承办院校要积极邀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请高水平专家和行业企业参与，组织校企合作论坛、专家讲座、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专业教学交流观摩、校园招聘、教材展示、先进实训平台及设备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展览等活动，不断推动职业院校专业、课程与教学改革紧密对接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生产一线和先进技术。各项活动要全程录制视频，并于比赛结束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后7日内形成总结报告，连同视频、图片等佐证材料，报送大赛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执委会办公室。</w:t>
      </w:r>
      <w:bookmarkEnd w:id="1087"/>
    </w:p>
    <w:p>
      <w:pPr>
        <w:pageBreakBefore w:val="off"/>
        <w:tabs/>
        <w:wordWrap w:val="off"/>
        <w:spacing w:before="0" w:after="0" w:line="580" w:lineRule="atLeast"/>
        <w:ind w:left="0" w:right="0" w:firstLine="720"/>
        <w:jc w:val="both"/>
        <w:textAlignment w:val="baseline"/>
        <w:rPr>
          <w:sz w:val="29"/>
        </w:rPr>
      </w:pPr>
      <w:bookmarkStart w:name="" w:id="1088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（三）保障赛事安全。强化底线思维，坚决守牢安全防线，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各地、各承办院校要成立专门的安全管理机构，压实安全工作责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任，健全安全管理制度和应急处置预案，加强安全教育培训，切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实抓好用火用电、设施设备等关键环节的安全工作，全力保障赛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事安全、平稳、顺利举行。</w:t>
      </w:r>
      <w:bookmarkEnd w:id="1088"/>
    </w:p>
    <w:p>
      <w:pPr>
        <w:pageBreakBefore w:val="off"/>
        <w:tabs/>
        <w:wordWrap w:val="off"/>
        <w:spacing w:before="0" w:after="0" w:line="580" w:lineRule="atLeast"/>
        <w:ind w:left="0" w:right="0" w:firstLine="720"/>
        <w:jc w:val="both"/>
        <w:textAlignment w:val="baseline"/>
        <w:rPr>
          <w:sz w:val="29"/>
        </w:rPr>
      </w:pPr>
      <w:bookmarkStart w:name="" w:id="1089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（四）坚持廉洁办赛。各地、各承办院校要建立廉洁办赛责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任制，严格落实主体责任，加强廉洁自律宣传教育，对违规违纪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违法行为进行严肃处理。严格落实中央八项规定及其实施细则精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神，严禁铺张浪费，不得超标住宿、用餐、发放劳务费，严禁借</w:t>
      </w:r>
      <w:bookmarkEnd w:id="1089"/>
    </w:p>
    <w:p>
      <w:pPr>
        <w:pageBreakBefore w:val="off"/>
        <w:tabs/>
        <w:wordWrap w:val="off"/>
        <w:spacing w:before="0" w:after="0" w:line="580" w:lineRule="exact"/>
        <w:ind w:left="0" w:right="0"/>
        <w:jc w:val="both"/>
        <w:textAlignment w:val="baseline"/>
        <w:rPr>
          <w:sz w:val="29"/>
        </w:rPr>
      </w:pPr>
      <w:bookmarkStart w:name="" w:id="1090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t/>
      </w:r>
      <w:bookmarkEnd w:id="1090"/>
    </w:p>
    <w:p>
      <w:pPr>
        <w:pageBreakBefore w:val="off"/>
        <w:tabs/>
        <w:wordWrap w:val="off"/>
        <w:spacing w:before="0" w:after="0" w:line="200" w:lineRule="atLeast"/>
        <w:ind w:left="0" w:right="280"/>
        <w:jc w:val="right"/>
        <w:textAlignment w:val="baseline"/>
        <w:rPr>
          <w:sz w:val="14"/>
        </w:rPr>
        <w:sectPr>
          <w:footerReference r:id="rId15"/>
          <w:headerReference r:id="rId16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091"/>
      <w:r>
        <w:rPr>
          <w:rFonts w:ascii="仿宋" w:hAnsi="仿宋" w:cs="仿宋" w:eastAsia="仿宋"/>
          <w:sz w:val="14"/>
          <w:spacing w:val="0"/>
          <w:color w:val="000000"/>
          <w:b w:val="off"/>
          <w:i w:val="off"/>
        </w:rPr>
        <w:t>—7—</w:t>
      </w:r>
      <w:bookmarkEnd w:id="1091"/>
    </w:p>
    <w:p>
      <w:pPr>
        <w:pageBreakBefore w:val="off"/>
        <w:tabs/>
        <w:wordWrap w:val="off"/>
        <w:spacing w:before="560" w:after="0" w:line="600" w:lineRule="atLeast"/>
        <w:ind w:left="0" w:right="0"/>
        <w:jc w:val="both"/>
        <w:textAlignment w:val="baseline"/>
        <w:rPr>
          <w:sz w:val="29"/>
        </w:rPr>
      </w:pPr>
      <w:bookmarkStart w:name="" w:id="1092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大赛名义公款组织旅游和娱乐活动。</w:t>
      </w:r>
      <w:bookmarkEnd w:id="1092"/>
    </w:p>
    <w:p>
      <w:pPr>
        <w:pageBreakBefore w:val="off"/>
        <w:tabs/>
        <w:wordWrap w:val="off"/>
        <w:spacing w:before="0" w:after="0" w:line="600" w:lineRule="atLeast"/>
        <w:ind w:left="0" w:right="0" w:firstLine="820"/>
        <w:jc w:val="both"/>
        <w:textAlignment w:val="baseline"/>
        <w:rPr>
          <w:sz w:val="29"/>
        </w:rPr>
      </w:pPr>
      <w:bookmarkStart w:name="" w:id="1093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(五)加快成果转化。着眼于提升全省职业院校教学质量和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技术技能水平，各承办院校应于比赛结束后30日内，举办比赛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成果转化活动，将竞赛内容转化为教学资源，推动比赛成果植入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专业教学领域。成果转化活动应包括优秀选手展示、专家或裁判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解析赛事、承办校分享赛事案例或教学案例等。大赛成果转化活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动视频、图片应在活动结束后7日内，报送大赛执委会办公室。</w:t>
      </w:r>
      <w:bookmarkEnd w:id="1093"/>
    </w:p>
    <w:p>
      <w:pPr>
        <w:pageBreakBefore w:val="off"/>
        <w:tabs/>
        <w:wordWrap w:val="off"/>
        <w:spacing w:before="0" w:after="0" w:line="600" w:lineRule="atLeast"/>
        <w:ind w:left="0" w:right="0" w:firstLine="740"/>
        <w:jc w:val="both"/>
        <w:textAlignment w:val="baseline"/>
        <w:rPr>
          <w:sz w:val="29"/>
        </w:rPr>
      </w:pPr>
      <w:bookmarkStart w:name="" w:id="1094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(六)做好其他工作。各赛道比赛通知、报名办法等相关文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件，将由大赛执委会另行印发，并通过山东省职业院校技能大赛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官方网站(</w:t>
      </w:r>
      <w:r>
        <w:rPr>
          <w:rFonts w:ascii="TimesNewRoman" w:hAnsi="TimesNewRoman" w:cs="TimesNewRoman" w:eastAsia="TimesNewRoman"/>
          <w:sz w:val="29"/>
          <w:spacing w:val="0"/>
          <w:color w:val="000000"/>
          <w:b w:val="off"/>
          <w:i w:val="off"/>
        </w:rPr>
        <w:t>https://sdskills.sdei.edu.cn/)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 xml:space="preserve"> 发布，各地、各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职业院校要抓实做好相关工作。</w:t>
      </w:r>
      <w:bookmarkEnd w:id="1094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9"/>
        </w:rPr>
      </w:pPr>
      <w:bookmarkStart w:name="" w:id="1095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t/>
      </w:r>
      <w:bookmarkEnd w:id="1095"/>
    </w:p>
    <w:p>
      <w:pPr>
        <w:pageBreakBefore w:val="off"/>
        <w:tabs/>
        <w:wordWrap w:val="off"/>
        <w:spacing w:before="0" w:after="0" w:line="600" w:lineRule="atLeast"/>
        <w:ind w:left="1600" w:right="40" w:hanging="900"/>
        <w:jc w:val="both"/>
        <w:textAlignment w:val="baseline"/>
        <w:rPr>
          <w:sz w:val="29"/>
        </w:rPr>
      </w:pPr>
      <w:bookmarkStart w:name="" w:id="1096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附件：1.第十八届山东省职业院校技能大赛中职组赛道安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排一览表</w:t>
      </w:r>
      <w:bookmarkEnd w:id="1096"/>
    </w:p>
    <w:p>
      <w:pPr>
        <w:pageBreakBefore w:val="off"/>
        <w:tabs/>
        <w:wordWrap w:val="off"/>
        <w:spacing w:before="0" w:after="0" w:line="600" w:lineRule="atLeast"/>
        <w:ind w:left="1620" w:right="40" w:hanging="140"/>
        <w:jc w:val="both"/>
        <w:textAlignment w:val="baseline"/>
        <w:rPr>
          <w:sz w:val="29"/>
        </w:rPr>
      </w:pPr>
      <w:bookmarkStart w:name="" w:id="1097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2.第十八届山东省职业院校技能大赛高职组赛道安</w:t>
      </w:r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排一览表</w:t>
      </w:r>
      <w:bookmarkEnd w:id="1097"/>
    </w:p>
    <w:p>
      <w:pPr>
        <w:pageBreakBefore w:val="off"/>
        <w:tabs/>
        <w:wordWrap w:val="off"/>
        <w:spacing w:before="0" w:after="0" w:line="600" w:lineRule="atLeast"/>
        <w:ind w:left="1480" w:right="0"/>
        <w:jc w:val="both"/>
        <w:textAlignment w:val="baseline"/>
        <w:rPr>
          <w:sz w:val="29"/>
        </w:rPr>
      </w:pPr>
      <w:bookmarkStart w:name="" w:id="1098"/>
      <w:r>
        <w:rPr>
          <w:rFonts w:ascii="仿宋" w:hAnsi="仿宋" w:cs="仿宋" w:eastAsia="仿宋"/>
          <w:sz w:val="29"/>
          <w:spacing w:val="0"/>
          <w:color w:val="000000"/>
          <w:b w:val="off"/>
          <w:i w:val="off"/>
        </w:rPr>
        <w:t>3.第十八届山东省职业院校技能大赛评分要素</w:t>
      </w:r>
      <w:bookmarkEnd w:id="1098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9"/>
        </w:rPr>
      </w:pPr>
      <w:bookmarkStart w:name="" w:id="1099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t/>
      </w:r>
      <w:bookmarkEnd w:id="1099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9"/>
        </w:rPr>
      </w:pPr>
      <w:bookmarkStart w:name="" w:id="1100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t/>
      </w:r>
      <w:bookmarkEnd w:id="1100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9"/>
        </w:rPr>
      </w:pPr>
      <w:bookmarkStart w:name="" w:id="1101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t/>
      </w:r>
      <w:bookmarkEnd w:id="1101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9"/>
        </w:rPr>
      </w:pPr>
      <w:bookmarkStart w:name="" w:id="1102"/>
      <w:r>
        <w:rPr>
          <w:rFonts w:ascii="宋体" w:hAnsi="宋体" w:cs="宋体" w:eastAsia="宋体"/>
          <w:sz w:val="29"/>
          <w:spacing w:val="0"/>
          <w:color w:val="000000"/>
          <w:b w:val="off"/>
          <w:i w:val="off"/>
        </w:rPr>
        <w:t/>
      </w:r>
      <w:bookmarkEnd w:id="1102"/>
    </w:p>
    <w:p>
      <w:pPr>
        <w:pageBreakBefore w:val="off"/>
        <w:tabs/>
        <w:wordWrap w:val="off"/>
        <w:spacing w:before="0" w:after="0" w:line="280" w:lineRule="atLeast"/>
        <w:ind w:left="280" w:right="0"/>
        <w:jc w:val="both"/>
        <w:textAlignment w:val="baseline"/>
        <w:rPr>
          <w:sz w:val="20"/>
        </w:rPr>
        <w:sectPr>
          <w:footerReference r:id="rId17"/>
          <w:headerReference r:id="rId18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103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>—8—</w:t>
      </w:r>
      <w:bookmarkEnd w:id="1103"/>
    </w:p>
    <w:p>
      <w:pPr>
        <w:pageBreakBefore w:val="off"/>
        <w:tabs/>
        <w:wordWrap w:val="off"/>
        <w:spacing w:before="1860" w:after="0" w:line="440" w:lineRule="atLeast"/>
        <w:ind w:left="0" w:right="1720"/>
        <w:jc w:val="right"/>
        <w:textAlignment w:val="baseline"/>
        <w:rPr>
          <w:sz w:val="32"/>
        </w:rPr>
      </w:pPr>
      <w:bookmarkStart w:name="" w:id="1104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山东省工业和</w: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4241800</wp:posOffset>
                </wp:positionH>
                <wp:positionV relativeFrom="paragraph">
                  <wp:posOffset>1587500</wp:posOffset>
                </wp:positionV>
                <wp:extent cx="952500" cy="330200"/>
                <wp:wrapNone/>
                <wp:docPr id="1" name="文本框 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52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off"/>
                              <w:tabs/>
                              <w:wordWrap w:val="off"/>
                              <w:spacing w:before="0" w:after="0" w:line="440" w:lineRule="atLeast"/>
                              <w:ind w:left="0" w:right="0"/>
                              <w:jc w:val="right"/>
                              <w:textAlignment w:val="baseline"/>
                              <w:rPr>
                                <w:sz w:val="32"/>
                              </w:rPr>
                            </w:pPr>
                            <w:bookmarkStart w:name="" w:id="1105"/>
                            <w:r>
                              <w:rPr>
                                <w:rFonts w:ascii="仿宋" w:hAnsi="仿宋" w:cs="仿宋" w:eastAsia="仿宋"/>
                                <w:sz w:val="32"/>
                                <w:spacing w:val="0"/>
                                <w:color w:val="000000"/>
                                <w:b w:val="off"/>
                                <w:i w:val="off"/>
                              </w:rPr>
                              <w:t>信息化厅</w:t>
                            </w:r>
                            <w:bookmarkEnd w:id="1105"/>
                          </w:p>
                        </w:txbxContent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34pt;margin-top:125pt;width:75pt;height:26pt;mso-position-vertical:absolute;mso-position-vertical-relative:text;mso-position-horizontal:absolute;mso-position-horizontal-relative:page;mso-wrap-style:square;position:absolute;z-index:251658240;v-text-anchor:top;">
                <w10:wrap type="none"/>
                <v:textbox inset="0pt,0pt,0pt,0pt">
                  <w:txbxContent>
                    <w:p>
                      <w:pPr>
                        <w:pageBreakBefore w:val="off"/>
                        <w:tabs/>
                        <w:wordWrap w:val="off"/>
                        <w:spacing w:before="0" w:after="0" w:line="440" w:lineRule="atLeast"/>
                        <w:ind w:left="0" w:right="0"/>
                        <w:jc w:val="right"/>
                        <w:textAlignment w:val="baseline"/>
                        <w:rPr>
                          <w:sz w:val="32"/>
                        </w:rPr>
                      </w:pPr>
                      <w:bookmarkStart w:name="" w:id="1106"/>
                      <w:r>
                        <w:rPr>
                          <w:rFonts w:ascii="仿宋" w:hAnsi="仿宋" w:cs="仿宋" w:eastAsia="仿宋"/>
                          <w:sz w:val="32"/>
                          <w:spacing w:val="0"/>
                          <w:color w:val="000000"/>
                          <w:b w:val="off"/>
                          <w:i w:val="off"/>
                        </w:rPr>
                        <w:t>信息化厅</w:t>
                      </w:r>
                      <w:bookmarkEnd w:id="1106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2286000</wp:posOffset>
                </wp:positionH>
                <wp:positionV relativeFrom="paragraph">
                  <wp:posOffset>1384300</wp:posOffset>
                </wp:positionV>
                <wp:extent cx="1371600" cy="317500"/>
                <wp:wrapNone/>
                <wp:docPr id="2" name="文本框 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71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off"/>
                              <w:tabs/>
                              <w:wordWrap w:val="off"/>
                              <w:spacing w:before="0" w:after="0" w:line="440" w:lineRule="atLeast"/>
                              <w:ind w:left="0" w:right="0"/>
                              <w:jc w:val="both"/>
                              <w:textAlignment w:val="baseline"/>
                              <w:rPr>
                                <w:sz w:val="32"/>
                              </w:rPr>
                            </w:pPr>
                            <w:bookmarkStart w:name="" w:id="1107"/>
                            <w:r>
                              <w:rPr>
                                <w:rFonts w:ascii="仿宋" w:hAnsi="仿宋" w:cs="仿宋" w:eastAsia="仿宋"/>
                                <w:sz w:val="32"/>
                                <w:spacing w:val="0"/>
                                <w:color w:val="000000"/>
                                <w:b w:val="off"/>
                                <w:i w:val="off"/>
                              </w:rPr>
                              <w:t>山东省教育厅</w:t>
                            </w:r>
                            <w:bookmarkEnd w:id="1107"/>
                          </w:p>
                        </w:txbxContent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80pt;margin-top:109pt;width:108pt;height:25pt;mso-position-vertical:absolute;mso-position-vertical-relative:text;mso-position-horizontal:absolute;mso-position-horizontal-relative:page;mso-wrap-style:square;position:absolute;z-index:251658240;v-text-anchor:top;">
                <w10:wrap type="none"/>
                <v:textbox inset="0pt,0pt,0pt,0pt">
                  <w:txbxContent>
                    <w:p>
                      <w:pPr>
                        <w:pageBreakBefore w:val="off"/>
                        <w:tabs/>
                        <w:wordWrap w:val="off"/>
                        <w:spacing w:before="0" w:after="0" w:line="440" w:lineRule="atLeast"/>
                        <w:ind w:left="0" w:right="0"/>
                        <w:jc w:val="both"/>
                        <w:textAlignment w:val="baseline"/>
                        <w:rPr>
                          <w:sz w:val="32"/>
                        </w:rPr>
                      </w:pPr>
                      <w:bookmarkStart w:name="" w:id="1108"/>
                      <w:r>
                        <w:rPr>
                          <w:rFonts w:ascii="仿宋" w:hAnsi="仿宋" w:cs="仿宋" w:eastAsia="仿宋"/>
                          <w:sz w:val="32"/>
                          <w:spacing w:val="0"/>
                          <w:color w:val="000000"/>
                          <w:b w:val="off"/>
                          <w:i w:val="off"/>
                        </w:rPr>
                        <w:t>山东省教育厅</w:t>
                      </w:r>
                      <w:bookmarkEnd w:id="1108"/>
                    </w:p>
                  </w:txbxContent>
                </v:textbox>
              </v:shape>
            </w:pict>
          </mc:Fallback>
        </mc:AlternateContent>
      </w:r>
      <w:bookmarkEnd w:id="1104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09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09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10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10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11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11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12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12"/>
    </w:p>
    <w:p>
      <w:pPr>
        <w:pageBreakBefore w:val="off"/>
        <w:tabs>
          <w:tab w:pos="4840" w:val="left" w:leader="none"/>
        </w:tabs>
        <w:wordWrap w:val="off"/>
        <w:spacing w:before="0" w:after="0" w:line="440" w:lineRule="atLeast"/>
        <w:ind w:left="1480" w:right="0"/>
        <w:jc w:val="both"/>
        <w:textAlignment w:val="baseline"/>
        <w:rPr>
          <w:sz w:val="32"/>
        </w:rPr>
      </w:pPr>
      <w:bookmarkStart w:name="" w:id="1113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山东省人力资源和</w:t>
      </w:r>
      <w:r>
        <w:t xml:space="preserve">	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山东省农业</w:t>
      </w:r>
      <w:bookmarkEnd w:id="1113"/>
    </w:p>
    <w:p>
      <w:pPr>
        <w:pageBreakBefore w:val="off"/>
        <w:tabs>
          <w:tab w:pos="5100" w:val="left" w:leader="none"/>
        </w:tabs>
        <w:wordWrap w:val="off"/>
        <w:spacing w:before="0" w:after="0" w:line="440" w:lineRule="atLeast"/>
        <w:ind w:left="1940" w:right="0"/>
        <w:jc w:val="both"/>
        <w:textAlignment w:val="baseline"/>
        <w:rPr>
          <w:sz w:val="32"/>
        </w:rPr>
      </w:pPr>
      <w:bookmarkStart w:name="" w:id="1114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社会保障厅</w:t>
      </w:r>
      <w:r>
        <w:t xml:space="preserve">	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农村厅</w:t>
      </w:r>
      <w:bookmarkEnd w:id="1114"/>
    </w:p>
    <w:p>
      <w:pPr>
        <w:pageBreakBefore w:val="off"/>
        <w:tabs/>
        <w:wordWrap w:val="off"/>
        <w:spacing w:before="0" w:after="0" w:line="440" w:lineRule="atLeast"/>
        <w:ind w:left="0" w:right="1640"/>
        <w:jc w:val="right"/>
        <w:textAlignment w:val="baseline"/>
        <w:rPr>
          <w:sz w:val="32"/>
        </w:rPr>
      </w:pPr>
      <w:bookmarkStart w:name="" w:id="1115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2025年 10月 20日</w:t>
      </w:r>
      <w:bookmarkEnd w:id="1115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16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16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17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17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18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18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19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19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0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0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1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1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2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2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3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3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4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4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5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5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6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6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7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7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8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8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29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29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30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30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31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31"/>
    </w:p>
    <w:p>
      <w:pPr>
        <w:pageBreakBefore w:val="off"/>
        <w:tabs/>
        <w:wordWrap w:val="off"/>
        <w:spacing w:before="0" w:after="0" w:line="440" w:lineRule="exact"/>
        <w:ind w:left="0" w:right="0"/>
        <w:jc w:val="right"/>
        <w:textAlignment w:val="baseline"/>
        <w:rPr>
          <w:sz w:val="32"/>
        </w:rPr>
      </w:pPr>
      <w:bookmarkStart w:name="" w:id="1132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132"/>
    </w:p>
    <w:p>
      <w:pPr>
        <w:pageBreakBefore w:val="off"/>
        <w:tabs/>
        <w:wordWrap w:val="off"/>
        <w:spacing w:before="0" w:after="0" w:line="260" w:lineRule="atLeast"/>
        <w:ind w:left="0" w:right="0"/>
        <w:jc w:val="right"/>
        <w:textAlignment w:val="baseline"/>
        <w:rPr>
          <w:sz w:val="18"/>
        </w:rPr>
        <w:sectPr>
          <w:footerReference r:id="rId19"/>
          <w:headerReference r:id="rId20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133"/>
      <w:r>
        <w:rPr>
          <w:rFonts w:ascii="宋体" w:hAnsi="宋体" w:cs="宋体" w:eastAsia="宋体"/>
          <w:sz w:val="18"/>
          <w:spacing w:val="0"/>
          <w:color w:val="000000"/>
          <w:b w:val="off"/>
          <w:i w:val="off"/>
        </w:rPr>
        <w:t>—9—</w:t>
      </w:r>
      <w:bookmarkEnd w:id="1133"/>
    </w:p>
    <w:p>
      <w:pPr>
        <w:pageBreakBefore w:val="off"/>
        <w:tabs/>
        <w:wordWrap w:val="off"/>
        <w:spacing w:before="640" w:after="0" w:line="540" w:lineRule="atLeast"/>
        <w:ind w:left="0" w:right="0"/>
        <w:jc w:val="both"/>
        <w:textAlignment w:val="baseline"/>
        <w:rPr>
          <w:sz w:val="39"/>
        </w:rPr>
      </w:pPr>
      <w:bookmarkStart w:name="" w:id="1134"/>
      <w:r>
        <w:rPr>
          <w:rFonts w:ascii="楷体" w:hAnsi="楷体" w:cs="楷体" w:eastAsia="楷体"/>
          <w:sz w:val="39"/>
          <w:spacing w:val="0"/>
          <w:color w:val="000000"/>
          <w:b w:val="off"/>
          <w:i w:val="off"/>
        </w:rPr>
        <w:t>附件1</w:t>
      </w:r>
      <w:bookmarkEnd w:id="1134"/>
    </w:p>
    <w:p>
      <w:pPr>
        <w:pageBreakBefore w:val="off"/>
        <w:tabs/>
        <w:wordWrap w:val="off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bookmarkStart w:name="" w:id="1135"/>
      <w:r>
        <w:rPr>
          <w:rFonts w:ascii="宋体" w:hAnsi="宋体" w:cs="宋体" w:eastAsia="宋体"/>
          <w:sz w:val="45"/>
          <w:spacing w:val="0"/>
          <w:color w:val="000000"/>
          <w:b w:val="off"/>
          <w:i w:val="off"/>
        </w:rPr>
        <w:t>第十八届山东省职业院校技能大赛</w:t>
      </w:r>
      <w:bookmarkEnd w:id="1135"/>
    </w:p>
    <w:p>
      <w:pPr>
        <w:pageBreakBefore w:val="off"/>
        <w:tabs/>
        <w:wordWrap w:val="off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bookmarkStart w:name="" w:id="1136"/>
      <w:r>
        <w:rPr>
          <w:rFonts w:ascii="宋体" w:hAnsi="宋体" w:cs="宋体" w:eastAsia="宋体"/>
          <w:sz w:val="45"/>
          <w:spacing w:val="0"/>
          <w:color w:val="000000"/>
          <w:b w:val="off"/>
          <w:i w:val="off"/>
        </w:rPr>
        <w:t>中职组赛道安排一览表</w:t>
      </w:r>
      <w:bookmarkEnd w:id="1136"/>
    </w:p>
    <w:tbl>
      <w:tblPr>
        <w:tblW w:w="0" w:type="auto"/>
        <w:jc w:val="start"/>
        <w:tblInd w:type="dxa" w:w="1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20"/>
        <w:gridCol w:w="2820"/>
        <w:gridCol w:w="4860"/>
      </w:tblGrid>
      <w:tr>
        <w:trPr>
          <w:trHeight w:hRule="atLeast" w:val="6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37"/>
            <w:r>
              <w:rPr>
                <w:rFonts w:ascii="黑体" w:hAnsi="黑体" w:cs="黑体" w:eastAsia="黑体"/>
                <w:sz w:val="28"/>
                <w:spacing w:val="0"/>
                <w:color w:val="000000"/>
                <w:b w:val="off"/>
                <w:i w:val="off"/>
              </w:rPr>
              <w:t>序号</w:t>
            </w:r>
            <w:bookmarkEnd w:id="1137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38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赛道名称</w:t>
            </w:r>
            <w:bookmarkEnd w:id="1138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39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对应专业类及专业</w:t>
            </w:r>
            <w:bookmarkEnd w:id="1139"/>
          </w:p>
        </w:tc>
      </w:tr>
      <w:tr>
        <w:trPr>
          <w:trHeight w:hRule="atLeast" w:val="6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4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</w:t>
            </w:r>
            <w:bookmarkEnd w:id="1140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4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现代农业赛道</w:t>
            </w:r>
            <w:bookmarkEnd w:id="1141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4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农业类</w:t>
            </w:r>
            <w:bookmarkEnd w:id="1142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43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2</w:t>
            </w:r>
            <w:bookmarkEnd w:id="1143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4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林业赛道</w:t>
            </w:r>
            <w:bookmarkEnd w:id="1144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4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林业类</w:t>
            </w:r>
            <w:bookmarkEnd w:id="1145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46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3</w:t>
            </w:r>
            <w:bookmarkEnd w:id="1146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4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畜牧与水产赛道</w:t>
            </w:r>
            <w:bookmarkEnd w:id="1147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4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畜牧业类、渔业类</w:t>
            </w:r>
            <w:bookmarkEnd w:id="1148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49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4</w:t>
            </w:r>
            <w:bookmarkEnd w:id="1149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5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地质勘察与地理测绘赛道</w:t>
            </w:r>
            <w:bookmarkEnd w:id="1150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5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资源勘查类、地质类、测绘地理信息类</w:t>
            </w:r>
            <w:bookmarkEnd w:id="1151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52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5</w:t>
            </w:r>
            <w:bookmarkEnd w:id="1152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5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生态环保与环境治理赛道</w:t>
            </w:r>
            <w:bookmarkEnd w:id="1153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5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气象类、环境保护类、安全类</w:t>
            </w:r>
            <w:bookmarkEnd w:id="1154"/>
          </w:p>
        </w:tc>
      </w:tr>
      <w:tr>
        <w:trPr>
          <w:trHeight w:hRule="atLeast" w:val="78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55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6</w:t>
            </w:r>
            <w:bookmarkEnd w:id="1155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5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能源动力赛道</w:t>
            </w:r>
            <w:bookmarkEnd w:id="1156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5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热能与发电工程类、新能源发电工程类、电力技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术类</w:t>
            </w:r>
            <w:bookmarkEnd w:id="1157"/>
          </w:p>
        </w:tc>
      </w:tr>
      <w:tr>
        <w:trPr>
          <w:trHeight w:hRule="atLeast" w:val="9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58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7</w:t>
            </w:r>
            <w:bookmarkEnd w:id="1158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5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土木建筑设计与管理赛道</w:t>
            </w:r>
            <w:bookmarkEnd w:id="1159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6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建筑设计类、建设工程管理类、城乡规划与管理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类、房地产类</w:t>
            </w:r>
            <w:bookmarkEnd w:id="1160"/>
          </w:p>
        </w:tc>
      </w:tr>
      <w:tr>
        <w:trPr>
          <w:trHeight w:hRule="atLeast" w:val="102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61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8</w:t>
            </w:r>
            <w:bookmarkEnd w:id="1161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6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土木建筑施工赛道</w:t>
            </w:r>
            <w:bookmarkEnd w:id="1162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6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建筑材料类、土建施工类、建筑设备类、市政工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程类</w:t>
            </w:r>
            <w:bookmarkEnd w:id="1163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64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9</w:t>
            </w:r>
            <w:bookmarkEnd w:id="1164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6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机械设计与制造赛道</w:t>
            </w:r>
            <w:bookmarkEnd w:id="1165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6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机械设计制造类</w:t>
            </w:r>
            <w:bookmarkEnd w:id="1166"/>
          </w:p>
        </w:tc>
      </w:tr>
      <w:tr>
        <w:trPr>
          <w:trHeight w:hRule="atLeast" w:val="6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67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10</w:t>
            </w:r>
            <w:bookmarkEnd w:id="1167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6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机电设备安装与运维赛道</w:t>
            </w:r>
            <w:bookmarkEnd w:id="1168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6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机电设备类</w:t>
            </w:r>
            <w:bookmarkEnd w:id="1169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70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11</w:t>
            </w:r>
            <w:bookmarkEnd w:id="1170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7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智能装备应用赛道</w:t>
            </w:r>
            <w:bookmarkEnd w:id="1171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7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自动化类</w:t>
            </w:r>
            <w:bookmarkEnd w:id="1172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73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12</w:t>
            </w:r>
            <w:bookmarkEnd w:id="1173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7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轨道交通运输赛道</w:t>
            </w:r>
            <w:bookmarkEnd w:id="1174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7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铁道运输类、城市轨道交通类</w:t>
            </w:r>
            <w:bookmarkEnd w:id="1175"/>
          </w:p>
        </w:tc>
      </w:tr>
      <w:tr>
        <w:trPr>
          <w:trHeight w:hRule="atLeast" w:val="6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76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13</w:t>
            </w:r>
            <w:bookmarkEnd w:id="1176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7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航空交通运输赛道</w:t>
            </w:r>
            <w:bookmarkEnd w:id="1177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7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航空运输类、航空装备类</w:t>
            </w:r>
            <w:bookmarkEnd w:id="1178"/>
          </w:p>
        </w:tc>
      </w:tr>
      <w:tr>
        <w:trPr>
          <w:trHeight w:hRule="atLeast" w:val="6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179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14</w:t>
            </w:r>
            <w:bookmarkEnd w:id="1179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船舶交通运输赛道</w:t>
            </w:r>
            <w:bookmarkEnd w:id="1180"/>
          </w:p>
        </w:tc>
        <w:tc>
          <w:tcPr>
            <w:tcW w:w="48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船舶与海洋工程装备类、水上运输类</w:t>
            </w:r>
            <w:bookmarkEnd w:id="1181"/>
          </w:p>
        </w:tc>
      </w:tr>
    </w:tbl>
    <w:p>
      <w:pPr>
        <w:pageBreakBefore w:val="off"/>
        <w:tabs/>
        <w:wordWrap w:val="off"/>
        <w:spacing w:before="0" w:after="0" w:line="280" w:lineRule="exact"/>
        <w:ind w:left="0" w:right="0"/>
        <w:jc w:val="left"/>
        <w:textAlignment w:val="baseline"/>
        <w:rPr>
          <w:sz w:val="22"/>
        </w:rPr>
      </w:pPr>
      <w:bookmarkStart w:name="" w:id="1182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/>
      </w:r>
      <w:bookmarkEnd w:id="1182"/>
    </w:p>
    <w:p>
      <w:pPr>
        <w:pageBreakBefore w:val="off"/>
        <w:tabs/>
        <w:wordWrap w:val="off"/>
        <w:spacing w:before="0" w:after="0" w:line="300" w:lineRule="atLeast"/>
        <w:ind w:left="300" w:right="0"/>
        <w:jc w:val="both"/>
        <w:textAlignment w:val="baseline"/>
        <w:rPr>
          <w:sz w:val="22"/>
        </w:rPr>
        <w:sectPr>
          <w:footerReference r:id="rId21"/>
          <w:headerReference r:id="rId22" w:type="default"/>
          <w:type w:val="nextPage"/>
          <w:pgSz w:w="11900" w:h="16820"/>
          <w:pgMar w:left="1540" w:top="1420" w:right="1540" w:bottom="1420" w:header="1120" w:footer="1120"/>
          <w:cols w:num="1"/>
        </w:sectPr>
      </w:pPr>
      <w:bookmarkStart w:name="" w:id="1183"/>
      <w:r>
        <w:rPr>
          <w:rFonts w:ascii="宋体" w:hAnsi="宋体" w:cs="宋体" w:eastAsia="宋体"/>
          <w:sz w:val="22"/>
          <w:spacing w:val="0"/>
          <w:color w:val="000000"/>
          <w:b w:val="off"/>
          <w:i w:val="off"/>
        </w:rPr>
        <w:t>—10—</w:t>
      </w:r>
      <w:bookmarkEnd w:id="1183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20"/>
        <w:gridCol w:w="2820"/>
        <w:gridCol w:w="4880"/>
      </w:tblGrid>
      <w:tr>
        <w:trPr>
          <w:trHeight w:hRule="atLeast" w:val="6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4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序号</w:t>
            </w:r>
            <w:bookmarkEnd w:id="1184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5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赛道名称</w:t>
            </w:r>
            <w:bookmarkEnd w:id="1185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6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对应专业类及专业</w:t>
            </w:r>
            <w:bookmarkEnd w:id="1186"/>
          </w:p>
        </w:tc>
      </w:tr>
      <w:tr>
        <w:trPr>
          <w:trHeight w:hRule="atLeast" w:val="11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15</w:t>
            </w:r>
            <w:bookmarkEnd w:id="1187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汽车制造与维修赛道</w:t>
            </w:r>
            <w:bookmarkEnd w:id="1188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8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汽车制造类、道路运输类(专业：汽车服务与营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销、汽车运用与维修、汽车车身修复、汽车美容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与装潢、新能源汽车运用与维修)</w:t>
            </w:r>
            <w:bookmarkEnd w:id="1189"/>
          </w:p>
        </w:tc>
      </w:tr>
      <w:tr>
        <w:trPr>
          <w:trHeight w:hRule="atLeast" w:val="12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16</w:t>
            </w:r>
            <w:bookmarkEnd w:id="1190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道路与管道运输赛道</w:t>
            </w:r>
            <w:bookmarkEnd w:id="1191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邮政类、道路运输类 (专业：道路与桥梁工程施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工、公路养护与管理、交通运营服务、交通工程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机械运用与维修、智能交通技术应用)</w:t>
            </w:r>
            <w:bookmarkEnd w:id="1192"/>
          </w:p>
        </w:tc>
      </w:tr>
      <w:tr>
        <w:trPr>
          <w:trHeight w:hRule="atLeast" w:val="5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17</w:t>
            </w:r>
            <w:bookmarkEnd w:id="1193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化工技术赛道</w:t>
            </w:r>
            <w:bookmarkEnd w:id="1194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化工技术类</w:t>
            </w:r>
            <w:bookmarkEnd w:id="1195"/>
          </w:p>
        </w:tc>
      </w:tr>
      <w:tr>
        <w:trPr>
          <w:trHeight w:hRule="atLeast" w:val="6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18</w:t>
            </w:r>
            <w:bookmarkEnd w:id="1196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纺织服装赛道</w:t>
            </w:r>
            <w:bookmarkEnd w:id="1197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纺织服装类</w:t>
            </w:r>
            <w:bookmarkEnd w:id="1198"/>
          </w:p>
        </w:tc>
      </w:tr>
      <w:tr>
        <w:trPr>
          <w:trHeight w:hRule="atLeast" w:val="5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19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19</w:t>
            </w:r>
            <w:bookmarkEnd w:id="1199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食品与粮食赛道</w:t>
            </w:r>
            <w:bookmarkEnd w:id="1200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食品类、粮食类</w:t>
            </w:r>
            <w:bookmarkEnd w:id="1201"/>
          </w:p>
        </w:tc>
      </w:tr>
      <w:tr>
        <w:trPr>
          <w:trHeight w:hRule="atLeast" w:val="58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20</w:t>
            </w:r>
            <w:bookmarkEnd w:id="1202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电子电器与集成电路赛道</w:t>
            </w:r>
            <w:bookmarkEnd w:id="1203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电子信息类、集成电路类</w:t>
            </w:r>
            <w:bookmarkEnd w:id="1204"/>
          </w:p>
        </w:tc>
      </w:tr>
      <w:tr>
        <w:trPr>
          <w:trHeight w:hRule="atLeast" w:val="6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21</w:t>
            </w:r>
            <w:bookmarkEnd w:id="1205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新一代信息技术赛道</w:t>
            </w:r>
            <w:bookmarkEnd w:id="1206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计算机类、通信类</w:t>
            </w:r>
            <w:bookmarkEnd w:id="1207"/>
          </w:p>
        </w:tc>
      </w:tr>
      <w:tr>
        <w:trPr>
          <w:trHeight w:hRule="atLeast" w:val="122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22</w:t>
            </w:r>
            <w:bookmarkEnd w:id="1208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0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医药生产与经营赛道</w:t>
            </w:r>
            <w:bookmarkEnd w:id="1209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药学类、中医药类、药品与医疗器械类(专业：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制药技术应用、生物制药工艺、生物药物检验、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药品食品检验、制药设备维修)</w:t>
            </w:r>
            <w:bookmarkEnd w:id="1210"/>
          </w:p>
        </w:tc>
      </w:tr>
      <w:tr>
        <w:trPr>
          <w:trHeight w:hRule="atLeast" w:val="56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23</w:t>
            </w:r>
            <w:bookmarkEnd w:id="1211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医学技术赛道</w:t>
            </w:r>
            <w:bookmarkEnd w:id="1212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医学技术类、眼视光类</w:t>
            </w:r>
            <w:bookmarkEnd w:id="1213"/>
          </w:p>
        </w:tc>
      </w:tr>
      <w:tr>
        <w:trPr>
          <w:trHeight w:hRule="atLeast" w:val="6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24</w:t>
            </w:r>
            <w:bookmarkEnd w:id="1214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康复治疗与护理赛道</w:t>
            </w:r>
            <w:bookmarkEnd w:id="1215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护理类、康复治疗类</w:t>
            </w:r>
            <w:bookmarkEnd w:id="1216"/>
          </w:p>
        </w:tc>
      </w:tr>
      <w:tr>
        <w:trPr>
          <w:trHeight w:hRule="atLeast" w:val="118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25</w:t>
            </w:r>
            <w:bookmarkEnd w:id="1217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健康养老与婴幼儿托育赛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道</w:t>
            </w:r>
            <w:bookmarkEnd w:id="1218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1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健康管理与促进类、公共卫生与卫生管理类、公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共服务类(专业：智慧健康养老服务、老年人服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务与管理、母婴照护、现代家政服务与管理)</w:t>
            </w:r>
            <w:bookmarkEnd w:id="1219"/>
          </w:p>
        </w:tc>
      </w:tr>
      <w:tr>
        <w:trPr>
          <w:trHeight w:hRule="atLeast" w:val="6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26</w:t>
            </w:r>
            <w:bookmarkEnd w:id="1220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财经赛道</w:t>
            </w:r>
            <w:bookmarkEnd w:id="1221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财政税务类、金融类、财务会计类、统计类</w:t>
            </w:r>
            <w:bookmarkEnd w:id="1222"/>
          </w:p>
        </w:tc>
      </w:tr>
      <w:tr>
        <w:trPr>
          <w:trHeight w:hRule="atLeast" w:val="6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27</w:t>
            </w:r>
            <w:bookmarkEnd w:id="1223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商贸赛道</w:t>
            </w:r>
            <w:bookmarkEnd w:id="1224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经济贸易类、工商管理类、电子商务类</w:t>
            </w:r>
            <w:bookmarkEnd w:id="1225"/>
          </w:p>
        </w:tc>
      </w:tr>
      <w:tr>
        <w:trPr>
          <w:trHeight w:hRule="atLeast" w:val="58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28</w:t>
            </w:r>
            <w:bookmarkEnd w:id="1226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物流与供应链赛道</w:t>
            </w:r>
            <w:bookmarkEnd w:id="1227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物流类</w:t>
            </w:r>
            <w:bookmarkEnd w:id="1228"/>
          </w:p>
        </w:tc>
      </w:tr>
      <w:tr>
        <w:trPr>
          <w:trHeight w:hRule="atLeast" w:val="58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2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29</w:t>
            </w:r>
            <w:bookmarkEnd w:id="1229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3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旅游赛道</w:t>
            </w:r>
            <w:bookmarkEnd w:id="1230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3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旅游类</w:t>
            </w:r>
            <w:bookmarkEnd w:id="1231"/>
          </w:p>
        </w:tc>
      </w:tr>
    </w:tbl>
    <w:p>
      <w:pPr>
        <w:pageBreakBefore w:val="off"/>
        <w:tabs/>
        <w:wordWrap w:val="off"/>
        <w:spacing w:before="0" w:after="0" w:line="220" w:lineRule="exact"/>
        <w:ind w:left="0" w:right="0"/>
        <w:jc w:val="center"/>
        <w:textAlignment w:val="baseline"/>
        <w:rPr>
          <w:sz w:val="17"/>
        </w:rPr>
      </w:pPr>
      <w:bookmarkStart w:name="" w:id="1232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232"/>
    </w:p>
    <w:p>
      <w:pPr>
        <w:pageBreakBefore w:val="off"/>
        <w:tabs/>
        <w:wordWrap w:val="off"/>
        <w:spacing w:before="0" w:after="0" w:line="220" w:lineRule="exact"/>
        <w:ind w:left="0" w:right="0"/>
        <w:jc w:val="center"/>
        <w:textAlignment w:val="baseline"/>
        <w:rPr>
          <w:sz w:val="17"/>
        </w:rPr>
      </w:pPr>
      <w:bookmarkStart w:name="" w:id="1233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233"/>
    </w:p>
    <w:p>
      <w:pPr>
        <w:pageBreakBefore w:val="off"/>
        <w:tabs/>
        <w:wordWrap w:val="off"/>
        <w:spacing w:before="0" w:after="0" w:line="220" w:lineRule="exact"/>
        <w:ind w:left="0" w:right="0"/>
        <w:jc w:val="center"/>
        <w:textAlignment w:val="baseline"/>
        <w:rPr>
          <w:sz w:val="17"/>
        </w:rPr>
      </w:pPr>
      <w:bookmarkStart w:name="" w:id="1234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234"/>
    </w:p>
    <w:p>
      <w:pPr>
        <w:pageBreakBefore w:val="off"/>
        <w:tabs/>
        <w:wordWrap w:val="off"/>
        <w:spacing w:before="0" w:after="0" w:line="240" w:lineRule="atLeast"/>
        <w:ind w:left="0" w:right="140"/>
        <w:jc w:val="right"/>
        <w:textAlignment w:val="baseline"/>
        <w:rPr>
          <w:sz w:val="17"/>
        </w:rPr>
        <w:sectPr>
          <w:footerReference r:id="rId23"/>
          <w:headerReference r:id="rId24" w:type="default"/>
          <w:type w:val="nextPage"/>
          <w:pgSz w:w="11900" w:h="16820"/>
          <w:pgMar w:left="1620" w:top="1420" w:right="1620" w:bottom="1420" w:header="1120" w:footer="1120"/>
          <w:cols w:num="1"/>
        </w:sectPr>
      </w:pPr>
      <w:bookmarkStart w:name="" w:id="1235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—11—</w:t>
      </w:r>
      <w:bookmarkEnd w:id="1235"/>
    </w:p>
    <w:tbl>
      <w:tblPr>
        <w:tblW w:w="0" w:type="auto"/>
        <w:jc w:val="star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20"/>
        <w:gridCol w:w="2820"/>
        <w:gridCol w:w="4880"/>
      </w:tblGrid>
      <w:tr>
        <w:trPr>
          <w:trHeight w:hRule="atLeast" w:val="62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36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序号</w:t>
            </w:r>
            <w:bookmarkEnd w:id="1236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37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赛道名称</w:t>
            </w:r>
            <w:bookmarkEnd w:id="1237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38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对应专业类及专业</w:t>
            </w:r>
            <w:bookmarkEnd w:id="1238"/>
          </w:p>
        </w:tc>
      </w:tr>
      <w:tr>
        <w:trPr>
          <w:trHeight w:hRule="atLeast" w:val="6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3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30</w:t>
            </w:r>
            <w:bookmarkEnd w:id="1239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餐饮赛道</w:t>
            </w:r>
            <w:bookmarkEnd w:id="1240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餐饮类</w:t>
            </w:r>
            <w:bookmarkEnd w:id="1241"/>
          </w:p>
        </w:tc>
      </w:tr>
      <w:tr>
        <w:trPr>
          <w:trHeight w:hRule="atLeast" w:val="12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31</w:t>
            </w:r>
            <w:bookmarkEnd w:id="1242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艺术设计赛道</w:t>
            </w:r>
            <w:bookmarkEnd w:id="1243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艺术设计类、文化服务类、民族文化艺术类(专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业：民族美术、民族服装与饰品、民族纺染织绣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技艺、民间传统工艺、民族工艺品设计与制作)</w:t>
            </w:r>
            <w:bookmarkEnd w:id="1244"/>
          </w:p>
        </w:tc>
      </w:tr>
      <w:tr>
        <w:trPr>
          <w:trHeight w:hRule="atLeast" w:val="74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32</w:t>
            </w:r>
            <w:bookmarkEnd w:id="1245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表演艺术赛道</w:t>
            </w:r>
            <w:bookmarkEnd w:id="1246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表演艺术类、民族文化艺术类(专业：民族音乐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与舞蹈)</w:t>
            </w:r>
            <w:bookmarkEnd w:id="1247"/>
          </w:p>
        </w:tc>
      </w:tr>
      <w:tr>
        <w:trPr>
          <w:trHeight w:hRule="atLeast" w:val="58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33</w:t>
            </w:r>
            <w:bookmarkEnd w:id="1248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4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新闻传播赛道</w:t>
            </w:r>
            <w:bookmarkEnd w:id="1249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新闻出版类、广播影视类</w:t>
            </w:r>
            <w:bookmarkEnd w:id="1250"/>
          </w:p>
        </w:tc>
      </w:tr>
      <w:tr>
        <w:trPr>
          <w:trHeight w:hRule="atLeast" w:val="6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34</w:t>
            </w:r>
            <w:bookmarkEnd w:id="1251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教育与体育赛道</w:t>
            </w:r>
            <w:bookmarkEnd w:id="1252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教育类、语言类、体育类</w:t>
            </w:r>
            <w:bookmarkEnd w:id="1253"/>
          </w:p>
        </w:tc>
      </w:tr>
      <w:tr>
        <w:trPr>
          <w:trHeight w:hRule="atLeast" w:val="122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35</w:t>
            </w:r>
            <w:bookmarkEnd w:id="1254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公共安全、管理与服务赛道</w:t>
            </w:r>
            <w:bookmarkEnd w:id="1255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文秘类、公共管理类、公共事业类、公共服务类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(专业：殡葬服务与管理)、安全防范类、法律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实务类</w:t>
            </w:r>
            <w:bookmarkEnd w:id="1256"/>
          </w:p>
        </w:tc>
      </w:tr>
      <w:tr>
        <w:trPr>
          <w:trHeight w:hRule="atLeast" w:val="700"/>
        </w:trPr>
        <w:tc>
          <w:tcPr>
            <w:tcW w:w="9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36</w:t>
            </w:r>
            <w:bookmarkEnd w:id="1257"/>
          </w:p>
        </w:tc>
        <w:tc>
          <w:tcPr>
            <w:tcW w:w="28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人工智能赛道</w:t>
            </w:r>
            <w:bookmarkEnd w:id="1258"/>
          </w:p>
        </w:tc>
        <w:tc>
          <w:tcPr>
            <w:tcW w:w="4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5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不限专业</w:t>
            </w:r>
            <w:bookmarkEnd w:id="1259"/>
          </w:p>
        </w:tc>
      </w:tr>
    </w:tbl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0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0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1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1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2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2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3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3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4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4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5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5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6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6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7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7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8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8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69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69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0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0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1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1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2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2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3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3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4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4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5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5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6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6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7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7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8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8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79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79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80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80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81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81"/>
    </w:p>
    <w:p>
      <w:pPr>
        <w:pageBreakBefore w:val="off"/>
        <w:tabs/>
        <w:wordWrap w:val="off"/>
        <w:spacing w:before="0" w:after="0" w:line="260" w:lineRule="exact"/>
        <w:ind w:left="0" w:right="0"/>
        <w:jc w:val="left"/>
        <w:textAlignment w:val="baseline"/>
        <w:rPr>
          <w:sz w:val="20"/>
        </w:rPr>
      </w:pPr>
      <w:bookmarkStart w:name="" w:id="1282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282"/>
    </w:p>
    <w:p>
      <w:pPr>
        <w:pageBreakBefore w:val="off"/>
        <w:tabs/>
        <w:wordWrap w:val="off"/>
        <w:spacing w:before="0" w:after="0" w:line="280" w:lineRule="atLeast"/>
        <w:ind w:left="160" w:right="0"/>
        <w:jc w:val="both"/>
        <w:textAlignment w:val="baseline"/>
        <w:rPr>
          <w:sz w:val="20"/>
        </w:rPr>
        <w:sectPr>
          <w:footerReference r:id="rId25"/>
          <w:headerReference r:id="rId26" w:type="default"/>
          <w:type w:val="nextPage"/>
          <w:pgSz w:w="11900" w:h="16820"/>
          <w:pgMar w:left="1620" w:top="1420" w:right="1620" w:bottom="1420" w:header="1120" w:footer="1120"/>
          <w:cols w:num="1"/>
        </w:sectPr>
      </w:pPr>
      <w:bookmarkStart w:name="" w:id="1283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>—12—</w:t>
      </w:r>
      <w:bookmarkEnd w:id="1283"/>
    </w:p>
    <w:p>
      <w:pPr>
        <w:pageBreakBefore w:val="off"/>
        <w:tabs/>
        <w:wordWrap w:val="off"/>
        <w:spacing w:before="640" w:after="0" w:line="540" w:lineRule="atLeast"/>
        <w:ind w:left="0" w:right="0"/>
        <w:jc w:val="both"/>
        <w:textAlignment w:val="baseline"/>
        <w:rPr>
          <w:sz w:val="40"/>
        </w:rPr>
      </w:pPr>
      <w:bookmarkStart w:name="" w:id="1284"/>
      <w:r>
        <w:rPr>
          <w:rFonts w:ascii="楷体" w:hAnsi="楷体" w:cs="楷体" w:eastAsia="楷体"/>
          <w:sz w:val="40"/>
          <w:spacing w:val="0"/>
          <w:color w:val="000000"/>
          <w:b w:val="off"/>
          <w:i w:val="off"/>
        </w:rPr>
        <w:t>附件2</w:t>
      </w:r>
      <w:bookmarkEnd w:id="1284"/>
    </w:p>
    <w:p>
      <w:pPr>
        <w:pageBreakBefore w:val="off"/>
        <w:tabs/>
        <w:wordWrap w:val="off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bookmarkStart w:name="" w:id="1285"/>
      <w:r>
        <w:rPr>
          <w:rFonts w:ascii="宋体" w:hAnsi="宋体" w:cs="宋体" w:eastAsia="宋体"/>
          <w:sz w:val="45"/>
          <w:spacing w:val="0"/>
          <w:color w:val="000000"/>
          <w:b w:val="off"/>
          <w:i w:val="off"/>
        </w:rPr>
        <w:t>第十八届山东省职业院校技能大赛</w:t>
      </w:r>
      <w:bookmarkEnd w:id="1285"/>
    </w:p>
    <w:p>
      <w:pPr>
        <w:pageBreakBefore w:val="off"/>
        <w:tabs/>
        <w:wordWrap w:val="off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bookmarkStart w:name="" w:id="1286"/>
      <w:r>
        <w:rPr>
          <w:rFonts w:ascii="宋体" w:hAnsi="宋体" w:cs="宋体" w:eastAsia="宋体"/>
          <w:sz w:val="45"/>
          <w:spacing w:val="0"/>
          <w:color w:val="000000"/>
          <w:b w:val="off"/>
          <w:i w:val="off"/>
        </w:rPr>
        <w:t>高职组赛道安排一览表</w:t>
      </w:r>
      <w:bookmarkEnd w:id="1286"/>
    </w:p>
    <w:tbl>
      <w:tblPr>
        <w:tblW w:w="0" w:type="auto"/>
        <w:jc w:val="start"/>
        <w:tblInd w:type="dxa" w:w="16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0"/>
        <w:gridCol w:w="2680"/>
        <w:gridCol w:w="5000"/>
      </w:tblGrid>
      <w:tr>
        <w:trPr>
          <w:trHeight w:hRule="atLeast" w:val="7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87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序号</w:t>
            </w:r>
            <w:bookmarkEnd w:id="1287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88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赛道名称</w:t>
            </w:r>
            <w:bookmarkEnd w:id="1288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89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对应专业类及专业</w:t>
            </w:r>
            <w:bookmarkEnd w:id="1289"/>
          </w:p>
        </w:tc>
      </w:tr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9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</w:t>
            </w:r>
            <w:bookmarkEnd w:id="1290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9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现代农业赛道</w:t>
            </w:r>
            <w:bookmarkEnd w:id="1291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9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农业类</w:t>
            </w:r>
            <w:bookmarkEnd w:id="1292"/>
          </w:p>
        </w:tc>
      </w:tr>
      <w:tr>
        <w:trPr>
          <w:trHeight w:hRule="atLeast" w:val="70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293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2</w:t>
            </w:r>
            <w:bookmarkEnd w:id="1293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9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林业赛道</w:t>
            </w:r>
            <w:bookmarkEnd w:id="1294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9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林业类</w:t>
            </w:r>
            <w:bookmarkEnd w:id="1295"/>
          </w:p>
        </w:tc>
      </w:tr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296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3</w:t>
            </w:r>
            <w:bookmarkEnd w:id="1296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9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畜牧与水产赛道</w:t>
            </w:r>
            <w:bookmarkEnd w:id="1297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29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畜牧业类、渔业类</w:t>
            </w:r>
            <w:bookmarkEnd w:id="1298"/>
          </w:p>
        </w:tc>
      </w:tr>
      <w:tr>
        <w:trPr>
          <w:trHeight w:hRule="atLeast" w:val="70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299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4</w:t>
            </w:r>
            <w:bookmarkEnd w:id="1299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地质勘察与地理测绘赛道</w:t>
            </w:r>
            <w:bookmarkEnd w:id="1300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资源勘查类、地质类、测绘地理信息类</w:t>
            </w:r>
            <w:bookmarkEnd w:id="1301"/>
          </w:p>
        </w:tc>
      </w:tr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02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5</w:t>
            </w:r>
            <w:bookmarkEnd w:id="1302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资源开采赛道</w:t>
            </w:r>
            <w:bookmarkEnd w:id="1303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石油与天然气类、煤炭类、金属与非金属矿类</w:t>
            </w:r>
            <w:bookmarkEnd w:id="1304"/>
          </w:p>
        </w:tc>
      </w:tr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05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6</w:t>
            </w:r>
            <w:bookmarkEnd w:id="1305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生态环保与环境治理赛道</w:t>
            </w:r>
            <w:bookmarkEnd w:id="1306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气象类、环境保护类、安全类</w:t>
            </w:r>
            <w:bookmarkEnd w:id="1307"/>
          </w:p>
        </w:tc>
      </w:tr>
      <w:tr>
        <w:trPr>
          <w:trHeight w:hRule="atLeast" w:val="8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7</w:t>
            </w:r>
            <w:bookmarkEnd w:id="1308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0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能源动力赛道</w:t>
            </w:r>
            <w:bookmarkEnd w:id="1309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1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热能与发电工程类、新能源发电工程类、电力技术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类</w:t>
            </w:r>
            <w:bookmarkEnd w:id="1310"/>
          </w:p>
        </w:tc>
      </w:tr>
      <w:tr>
        <w:trPr>
          <w:trHeight w:hRule="atLeast" w:val="7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11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8</w:t>
            </w:r>
            <w:bookmarkEnd w:id="1311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1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材料赛道</w:t>
            </w:r>
            <w:bookmarkEnd w:id="1312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1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黑色金属材料类、有色金属材料类、非金属材料类</w:t>
            </w:r>
            <w:bookmarkEnd w:id="1313"/>
          </w:p>
        </w:tc>
      </w:tr>
      <w:tr>
        <w:trPr>
          <w:trHeight w:hRule="atLeast" w:val="8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14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9</w:t>
            </w:r>
            <w:bookmarkEnd w:id="1314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1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土木建筑设计与管理赛道</w:t>
            </w:r>
            <w:bookmarkEnd w:id="1315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1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建筑设计类、建设工程管理类、城乡规划与管理类、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房地产类</w:t>
            </w:r>
            <w:bookmarkEnd w:id="1316"/>
          </w:p>
        </w:tc>
      </w:tr>
      <w:tr>
        <w:trPr>
          <w:trHeight w:hRule="atLeast" w:val="80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17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10</w:t>
            </w:r>
            <w:bookmarkEnd w:id="1317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1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土木建筑施工赛道</w:t>
            </w:r>
            <w:bookmarkEnd w:id="1318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1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建筑材料类、土建施工类、建筑设备类、市政工程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类</w:t>
            </w:r>
            <w:bookmarkEnd w:id="1319"/>
          </w:p>
        </w:tc>
      </w:tr>
      <w:tr>
        <w:trPr>
          <w:trHeight w:hRule="atLeast" w:val="72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20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11</w:t>
            </w:r>
            <w:bookmarkEnd w:id="1320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2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机械设计与制造赛道</w:t>
            </w:r>
            <w:bookmarkEnd w:id="1321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2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机械设计制造类</w:t>
            </w:r>
            <w:bookmarkEnd w:id="1322"/>
          </w:p>
        </w:tc>
      </w:tr>
      <w:tr>
        <w:trPr>
          <w:trHeight w:hRule="atLeast" w:val="70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23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12</w:t>
            </w:r>
            <w:bookmarkEnd w:id="1323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2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机电设备安装与运维赛道</w:t>
            </w:r>
            <w:bookmarkEnd w:id="1324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2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机电设备类</w:t>
            </w:r>
            <w:bookmarkEnd w:id="1325"/>
          </w:p>
        </w:tc>
      </w:tr>
      <w:tr>
        <w:trPr>
          <w:trHeight w:hRule="atLeast" w:val="70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bookmarkStart w:name="" w:id="1326"/>
            <w:r>
              <w:rPr>
                <w:rFonts w:ascii="仿宋" w:hAnsi="仿宋" w:cs="仿宋" w:eastAsia="仿宋"/>
                <w:sz w:val="28"/>
                <w:spacing w:val="0"/>
                <w:color w:val="000000"/>
                <w:b w:val="off"/>
                <w:i w:val="off"/>
              </w:rPr>
              <w:t>13</w:t>
            </w:r>
            <w:bookmarkEnd w:id="1326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2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智能装备应用赛道</w:t>
            </w:r>
            <w:bookmarkEnd w:id="1327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2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自动化类</w:t>
            </w:r>
            <w:bookmarkEnd w:id="1328"/>
          </w:p>
        </w:tc>
      </w:tr>
    </w:tbl>
    <w:p>
      <w:pPr>
        <w:pageBreakBefore w:val="off"/>
        <w:tabs/>
        <w:wordWrap w:val="off"/>
        <w:spacing w:before="0" w:after="0" w:line="280" w:lineRule="exact"/>
        <w:ind w:left="0" w:right="0"/>
        <w:jc w:val="left"/>
        <w:textAlignment w:val="baseline"/>
        <w:rPr>
          <w:sz w:val="21"/>
        </w:rPr>
      </w:pPr>
      <w:bookmarkStart w:name="" w:id="1329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329"/>
    </w:p>
    <w:p>
      <w:pPr>
        <w:pageBreakBefore w:val="off"/>
        <w:tabs/>
        <w:wordWrap w:val="off"/>
        <w:spacing w:before="0" w:after="0" w:line="300" w:lineRule="atLeast"/>
        <w:ind w:left="0" w:right="120"/>
        <w:jc w:val="right"/>
        <w:textAlignment w:val="baseline"/>
        <w:rPr>
          <w:sz w:val="21"/>
        </w:rPr>
        <w:sectPr>
          <w:footerReference r:id="rId27"/>
          <w:headerReference r:id="rId28" w:type="default"/>
          <w:type w:val="nextPage"/>
          <w:pgSz w:w="11900" w:h="16820"/>
          <w:pgMar w:left="1560" w:top="1420" w:right="1560" w:bottom="1420" w:header="1120" w:footer="1120"/>
          <w:cols w:num="1"/>
        </w:sectPr>
      </w:pPr>
      <w:bookmarkStart w:name="" w:id="1330"/>
      <w:r>
        <w:rPr>
          <w:rFonts w:ascii="仿宋" w:hAnsi="仿宋" w:cs="仿宋" w:eastAsia="仿宋"/>
          <w:sz w:val="21"/>
          <w:spacing w:val="0"/>
          <w:color w:val="000000"/>
          <w:b w:val="off"/>
          <w:i w:val="off"/>
        </w:rPr>
        <w:t>—13—</w:t>
      </w:r>
      <w:bookmarkEnd w:id="1330"/>
    </w:p>
    <w:tbl>
      <w:tblPr>
        <w:tblW w:w="0" w:type="auto"/>
        <w:jc w:val="star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0"/>
        <w:gridCol w:w="2680"/>
        <w:gridCol w:w="5000"/>
      </w:tblGrid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1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序号</w:t>
            </w:r>
            <w:bookmarkEnd w:id="1331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2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赛道名称</w:t>
            </w:r>
            <w:bookmarkEnd w:id="1332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3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对应专业类及专业</w:t>
            </w:r>
            <w:bookmarkEnd w:id="1333"/>
          </w:p>
        </w:tc>
      </w:tr>
      <w:tr>
        <w:trPr>
          <w:trHeight w:hRule="atLeast" w:val="8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14</w:t>
            </w:r>
            <w:bookmarkEnd w:id="1334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轨道交通运输赛道</w:t>
            </w:r>
            <w:bookmarkEnd w:id="1335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轨道装备类、城市轨道交通类、铁道运输类</w:t>
            </w:r>
            <w:bookmarkEnd w:id="1336"/>
          </w:p>
        </w:tc>
      </w:tr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15</w:t>
            </w:r>
            <w:bookmarkEnd w:id="1337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航空交通运输赛道</w:t>
            </w:r>
            <w:bookmarkEnd w:id="1338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3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航空装备类、航空运输类</w:t>
            </w:r>
            <w:bookmarkEnd w:id="1339"/>
          </w:p>
        </w:tc>
      </w:tr>
      <w:tr>
        <w:trPr>
          <w:trHeight w:hRule="atLeast" w:val="62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16</w:t>
            </w:r>
            <w:bookmarkEnd w:id="1340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船舶交通运输赛道</w:t>
            </w:r>
            <w:bookmarkEnd w:id="1341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船舶与海洋工程装备类、水上运输类</w:t>
            </w:r>
            <w:bookmarkEnd w:id="1342"/>
          </w:p>
        </w:tc>
      </w:tr>
      <w:tr>
        <w:trPr>
          <w:trHeight w:hRule="atLeast" w:val="132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17</w:t>
            </w:r>
            <w:bookmarkEnd w:id="1343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汽车制造与维修赛道</w:t>
            </w:r>
            <w:bookmarkEnd w:id="1344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汽车制造类、道路运输类(高职专科专业：汽车技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术服务与营销、汽车检测与维修技术、新能源汽车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检测与维修技术，职教本科专业：汽车服务工程技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术)</w:t>
            </w:r>
            <w:bookmarkEnd w:id="1345"/>
          </w:p>
        </w:tc>
      </w:tr>
      <w:tr>
        <w:trPr>
          <w:trHeight w:hRule="atLeast" w:val="220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18</w:t>
            </w:r>
            <w:bookmarkEnd w:id="1346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道路与管道运输赛道</w:t>
            </w:r>
            <w:bookmarkEnd w:id="1347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管道运输类、邮政类、道路运输类(高职专科专业：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道路与桥梁工程技术、道路机械化施工技术、智能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工程机械运用技术、道路工程检测技术、道路工程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造价、道路养护与管理、智能交通技术、道路运输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管理、交通运营管理，职教本科专业：道路与桥梁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工程、智能交通管理、道路工程智能检测)</w:t>
            </w:r>
            <w:bookmarkEnd w:id="1348"/>
          </w:p>
        </w:tc>
      </w:tr>
      <w:tr>
        <w:trPr>
          <w:trHeight w:hRule="atLeast" w:val="62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4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19</w:t>
            </w:r>
            <w:bookmarkEnd w:id="1349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生物技术赛道</w:t>
            </w:r>
            <w:bookmarkEnd w:id="1350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生物技术类</w:t>
            </w:r>
            <w:bookmarkEnd w:id="1351"/>
          </w:p>
        </w:tc>
      </w:tr>
      <w:tr>
        <w:trPr>
          <w:trHeight w:hRule="atLeast" w:val="66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20</w:t>
            </w:r>
            <w:bookmarkEnd w:id="1352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化工技术赛道</w:t>
            </w:r>
            <w:bookmarkEnd w:id="1353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化工技术类</w:t>
            </w:r>
            <w:bookmarkEnd w:id="1354"/>
          </w:p>
        </w:tc>
      </w:tr>
      <w:tr>
        <w:trPr>
          <w:trHeight w:hRule="atLeast" w:val="74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21</w:t>
            </w:r>
            <w:bookmarkEnd w:id="1355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轻工赛道</w:t>
            </w:r>
            <w:bookmarkEnd w:id="1356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包装类、轻化工类、印刷类</w:t>
            </w:r>
            <w:bookmarkEnd w:id="1357"/>
          </w:p>
        </w:tc>
      </w:tr>
      <w:tr>
        <w:trPr>
          <w:trHeight w:hRule="atLeast" w:val="64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22</w:t>
            </w:r>
            <w:bookmarkEnd w:id="1358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5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纺织服装赛道</w:t>
            </w:r>
            <w:bookmarkEnd w:id="1359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纺织服装类</w:t>
            </w:r>
            <w:bookmarkEnd w:id="1360"/>
          </w:p>
        </w:tc>
      </w:tr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23</w:t>
            </w:r>
            <w:bookmarkEnd w:id="1361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食品与粮食赛道</w:t>
            </w:r>
            <w:bookmarkEnd w:id="1362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食品类、粮食类</w:t>
            </w:r>
            <w:bookmarkEnd w:id="1363"/>
          </w:p>
        </w:tc>
      </w:tr>
      <w:tr>
        <w:trPr>
          <w:trHeight w:hRule="atLeast" w:val="162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24</w:t>
            </w:r>
            <w:bookmarkEnd w:id="1364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医疗器械制造与运维赛道</w:t>
            </w:r>
            <w:bookmarkEnd w:id="1365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药品与医疗器械类(高职专科专业：智能医疗装备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技术、医用电子仪器技术、医用材料与应用、医疗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器械维护与管理、医疗器械经营与服务，职教本科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专业：康复工程技术、医疗器械工程技术)</w:t>
            </w:r>
            <w:bookmarkEnd w:id="1366"/>
          </w:p>
        </w:tc>
      </w:tr>
      <w:tr>
        <w:trPr>
          <w:trHeight w:hRule="atLeast" w:val="6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25</w:t>
            </w:r>
            <w:bookmarkEnd w:id="1367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电子电器与集成电路赛道</w:t>
            </w:r>
            <w:bookmarkEnd w:id="1368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6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电子信息类、集成电路类</w:t>
            </w:r>
            <w:bookmarkEnd w:id="1369"/>
          </w:p>
        </w:tc>
      </w:tr>
    </w:tbl>
    <w:p>
      <w:pPr>
        <w:pageBreakBefore w:val="off"/>
        <w:tabs/>
        <w:wordWrap w:val="off"/>
        <w:spacing w:before="0" w:after="0" w:line="220" w:lineRule="exact"/>
        <w:ind w:left="0" w:right="0"/>
        <w:jc w:val="left"/>
        <w:textAlignment w:val="baseline"/>
        <w:rPr>
          <w:sz w:val="17"/>
        </w:rPr>
      </w:pPr>
      <w:bookmarkStart w:name="" w:id="1370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370"/>
    </w:p>
    <w:p>
      <w:pPr>
        <w:pageBreakBefore w:val="off"/>
        <w:tabs/>
        <w:wordWrap w:val="off"/>
        <w:spacing w:before="0" w:after="0" w:line="220" w:lineRule="exact"/>
        <w:ind w:left="0" w:right="0"/>
        <w:jc w:val="left"/>
        <w:textAlignment w:val="baseline"/>
        <w:rPr>
          <w:sz w:val="17"/>
        </w:rPr>
      </w:pPr>
      <w:bookmarkStart w:name="" w:id="1371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371"/>
    </w:p>
    <w:p>
      <w:pPr>
        <w:pageBreakBefore w:val="off"/>
        <w:tabs/>
        <w:wordWrap w:val="off"/>
        <w:spacing w:before="0" w:after="0" w:line="240" w:lineRule="atLeast"/>
        <w:ind w:left="140" w:right="0"/>
        <w:jc w:val="both"/>
        <w:textAlignment w:val="baseline"/>
        <w:rPr>
          <w:sz w:val="17"/>
        </w:rPr>
        <w:sectPr>
          <w:footerReference r:id="rId29"/>
          <w:headerReference r:id="rId30" w:type="default"/>
          <w:type w:val="nextPage"/>
          <w:pgSz w:w="11900" w:h="16820"/>
          <w:pgMar w:left="1640" w:top="1420" w:right="1640" w:bottom="1420" w:header="1120" w:footer="1120"/>
          <w:cols w:num="1"/>
        </w:sectPr>
      </w:pPr>
      <w:bookmarkStart w:name="" w:id="1372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>—14—</w:t>
      </w:r>
      <w:bookmarkEnd w:id="1372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80"/>
        <w:gridCol w:w="2700"/>
        <w:gridCol w:w="5000"/>
      </w:tblGrid>
      <w:tr>
        <w:trPr>
          <w:trHeight w:hRule="atLeast" w:val="70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73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序号</w:t>
            </w:r>
            <w:bookmarkEnd w:id="1373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74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赛道名称</w:t>
            </w:r>
            <w:bookmarkEnd w:id="1374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75"/>
            <w:r>
              <w:rPr>
                <w:rFonts w:ascii="黑体" w:hAnsi="黑体" w:cs="黑体" w:eastAsia="黑体"/>
                <w:sz w:val="22"/>
                <w:spacing w:val="0"/>
                <w:color w:val="000000"/>
                <w:b w:val="off"/>
                <w:i w:val="off"/>
              </w:rPr>
              <w:t>对应专业类及专业</w:t>
            </w:r>
            <w:bookmarkEnd w:id="1375"/>
          </w:p>
        </w:tc>
      </w:tr>
      <w:tr>
        <w:trPr>
          <w:trHeight w:hRule="atLeast" w:val="76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7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26</w:t>
            </w:r>
            <w:bookmarkEnd w:id="1376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7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新一代信息技术赛道</w:t>
            </w:r>
            <w:bookmarkEnd w:id="1377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7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计算机类、通信类</w:t>
            </w:r>
            <w:bookmarkEnd w:id="1378"/>
          </w:p>
        </w:tc>
      </w:tr>
      <w:tr>
        <w:trPr>
          <w:trHeight w:hRule="atLeast" w:val="256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7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27</w:t>
            </w:r>
            <w:bookmarkEnd w:id="1379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医药生产与经营赛道</w:t>
            </w:r>
            <w:bookmarkEnd w:id="1380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药学类、中医药类、药品与医疗器械类(高职专科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专业：药品生产技术、生物制药技术、药物制剂技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术、化学制药技术、兽药制药技术、药品质量与安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全、制药设备应用技术、药品经营与管理、食品药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品监督管理、保健食品质量与管理、化妆品质量与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安全、化妆品经营与管理，职教本科专业：生物制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药技术、药物制剂、制药工程技术、药事服务与管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理、药品质量管理、药物分析)</w:t>
            </w:r>
            <w:bookmarkEnd w:id="1381"/>
          </w:p>
        </w:tc>
      </w:tr>
      <w:tr>
        <w:trPr>
          <w:trHeight w:hRule="atLeast" w:val="62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28</w:t>
            </w:r>
            <w:bookmarkEnd w:id="1382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医学技术赛道</w:t>
            </w:r>
            <w:bookmarkEnd w:id="1383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医学技术类、临床医学类、眼视光类</w:t>
            </w:r>
            <w:bookmarkEnd w:id="1384"/>
          </w:p>
        </w:tc>
      </w:tr>
      <w:tr>
        <w:trPr>
          <w:trHeight w:hRule="atLeast" w:val="60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29</w:t>
            </w:r>
            <w:bookmarkEnd w:id="1385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康复治疗与护理赛道</w:t>
            </w:r>
            <w:bookmarkEnd w:id="1386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护理类、康复治疗类</w:t>
            </w:r>
            <w:bookmarkEnd w:id="1387"/>
          </w:p>
        </w:tc>
      </w:tr>
      <w:tr>
        <w:trPr>
          <w:trHeight w:hRule="atLeast" w:val="176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30</w:t>
            </w:r>
            <w:bookmarkEnd w:id="1388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8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健康养老与婴幼儿托育赛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道</w:t>
            </w:r>
            <w:bookmarkEnd w:id="1389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健康管理与促进类、公共卫生与卫生管理类、公共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服务类(高职专科专业：现代家政服务与管理、智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慧健康养老服务与管理、社区康复，职教本科专业：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智慧健康养老管理、现代家政管理)</w:t>
            </w:r>
            <w:bookmarkEnd w:id="1390"/>
          </w:p>
        </w:tc>
      </w:tr>
      <w:tr>
        <w:trPr>
          <w:trHeight w:hRule="atLeast" w:val="76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31</w:t>
            </w:r>
            <w:bookmarkEnd w:id="1391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财经赛道</w:t>
            </w:r>
            <w:bookmarkEnd w:id="1392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财政税务类、金融类、财务会计类、统计类</w:t>
            </w:r>
            <w:bookmarkEnd w:id="1393"/>
          </w:p>
        </w:tc>
      </w:tr>
      <w:tr>
        <w:trPr>
          <w:trHeight w:hRule="atLeast" w:val="60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32</w:t>
            </w:r>
            <w:bookmarkEnd w:id="1394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商贸赛道</w:t>
            </w:r>
            <w:bookmarkEnd w:id="1395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经济贸易类、工商管理类、电子商务类</w:t>
            </w:r>
            <w:bookmarkEnd w:id="1396"/>
          </w:p>
        </w:tc>
      </w:tr>
      <w:tr>
        <w:trPr>
          <w:trHeight w:hRule="atLeast" w:val="58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33</w:t>
            </w:r>
            <w:bookmarkEnd w:id="1397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物流与供应链赛道</w:t>
            </w:r>
            <w:bookmarkEnd w:id="1398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39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物流类</w:t>
            </w:r>
            <w:bookmarkEnd w:id="1399"/>
          </w:p>
        </w:tc>
      </w:tr>
      <w:tr>
        <w:trPr>
          <w:trHeight w:hRule="atLeast" w:val="60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34</w:t>
            </w:r>
            <w:bookmarkEnd w:id="1400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旅游赛道</w:t>
            </w:r>
            <w:bookmarkEnd w:id="1401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2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旅游类</w:t>
            </w:r>
            <w:bookmarkEnd w:id="1402"/>
          </w:p>
        </w:tc>
      </w:tr>
      <w:tr>
        <w:trPr>
          <w:trHeight w:hRule="atLeast" w:val="58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3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35</w:t>
            </w:r>
            <w:bookmarkEnd w:id="1403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4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餐饮赛道</w:t>
            </w:r>
            <w:bookmarkEnd w:id="1404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5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餐饮类</w:t>
            </w:r>
            <w:bookmarkEnd w:id="1405"/>
          </w:p>
        </w:tc>
      </w:tr>
      <w:tr>
        <w:trPr>
          <w:trHeight w:hRule="atLeast" w:val="116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6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36</w:t>
            </w:r>
            <w:bookmarkEnd w:id="1406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7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艺术设计赛道</w:t>
            </w:r>
            <w:bookmarkEnd w:id="1407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8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艺术设计类、文化服务类、民族文化艺术类(专业：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民族美术、民族服装与饰品、中国少数民族语言文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化)</w:t>
            </w:r>
            <w:bookmarkEnd w:id="1408"/>
          </w:p>
        </w:tc>
      </w:tr>
      <w:tr>
        <w:trPr>
          <w:trHeight w:hRule="atLeast" w:val="980"/>
        </w:trPr>
        <w:tc>
          <w:tcPr>
            <w:tcW w:w="8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09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37</w:t>
            </w:r>
            <w:bookmarkEnd w:id="1409"/>
          </w:p>
        </w:tc>
        <w:tc>
          <w:tcPr>
            <w:tcW w:w="2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10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表演艺术赛道</w:t>
            </w:r>
            <w:bookmarkEnd w:id="1410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bookmarkStart w:name="" w:id="1411"/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表演艺术类、民族文化艺术类(专业：民族表演艺</w:t>
            </w:r>
            <w:r>
              <w:rPr>
                <w:rFonts w:ascii="仿宋" w:hAnsi="仿宋" w:cs="仿宋" w:eastAsia="仿宋"/>
                <w:sz w:val="22"/>
                <w:spacing w:val="0"/>
                <w:color w:val="000000"/>
                <w:b w:val="off"/>
                <w:i w:val="off"/>
              </w:rPr>
              <w:t>术、民族传统技艺)</w:t>
            </w:r>
            <w:bookmarkEnd w:id="1411"/>
          </w:p>
        </w:tc>
      </w:tr>
    </w:tbl>
    <w:p>
      <w:pPr>
        <w:pageBreakBefore w:val="off"/>
        <w:tabs/>
        <w:wordWrap w:val="off"/>
        <w:spacing w:before="0" w:after="0" w:line="260" w:lineRule="exact"/>
        <w:ind w:left="0" w:right="0"/>
        <w:jc w:val="center"/>
        <w:textAlignment w:val="baseline"/>
        <w:rPr>
          <w:sz w:val="20"/>
        </w:rPr>
      </w:pPr>
      <w:bookmarkStart w:name="" w:id="1412"/>
      <w:r>
        <w:rPr>
          <w:rFonts w:ascii="宋体" w:hAnsi="宋体" w:cs="宋体" w:eastAsia="宋体"/>
          <w:sz w:val="20"/>
          <w:spacing w:val="0"/>
          <w:color w:val="000000"/>
          <w:b w:val="off"/>
          <w:i w:val="off"/>
        </w:rPr>
        <w:t/>
      </w:r>
      <w:bookmarkEnd w:id="1412"/>
    </w:p>
    <w:p>
      <w:pPr>
        <w:pageBreakBefore w:val="off"/>
        <w:tabs/>
        <w:wordWrap w:val="off"/>
        <w:spacing w:before="0" w:after="0" w:line="280" w:lineRule="atLeast"/>
        <w:ind w:left="0" w:right="120"/>
        <w:jc w:val="right"/>
        <w:textAlignment w:val="baseline"/>
        <w:rPr>
          <w:sz w:val="20"/>
        </w:rPr>
        <w:sectPr>
          <w:footerReference r:id="rId31"/>
          <w:headerReference r:id="rId32" w:type="default"/>
          <w:type w:val="nextPage"/>
          <w:pgSz w:w="11900" w:h="16820"/>
          <w:pgMar w:left="1640" w:top="1420" w:right="1640" w:bottom="1420" w:header="1120" w:footer="1120"/>
          <w:cols w:num="1"/>
        </w:sectPr>
      </w:pPr>
      <w:bookmarkStart w:name="" w:id="1413"/>
      <w:r>
        <w:rPr>
          <w:rFonts w:ascii="仿宋" w:hAnsi="仿宋" w:cs="仿宋" w:eastAsia="仿宋"/>
          <w:sz w:val="20"/>
          <w:spacing w:val="0"/>
          <w:color w:val="000000"/>
          <w:b w:val="off"/>
          <w:i w:val="off"/>
        </w:rPr>
        <w:t>—15—</w:t>
      </w:r>
      <w:bookmarkEnd w:id="1413"/>
    </w:p>
    <w:tbl>
      <w:tblPr>
        <w:tblW w:w="0" w:type="auto"/>
        <w:jc w:val="star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0"/>
        <w:gridCol w:w="2680"/>
        <w:gridCol w:w="5000"/>
      </w:tblGrid>
      <w:tr>
        <w:trPr>
          <w:trHeight w:hRule="atLeast" w:val="74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14"/>
            <w:r>
              <w:rPr>
                <w:rFonts w:ascii="黑体" w:hAnsi="黑体" w:cs="黑体" w:eastAsia="黑体"/>
                <w:sz w:val="23"/>
                <w:spacing w:val="0"/>
                <w:color w:val="000000"/>
                <w:b w:val="off"/>
                <w:i w:val="off"/>
              </w:rPr>
              <w:t>序号</w:t>
            </w:r>
            <w:bookmarkEnd w:id="1414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15"/>
            <w:r>
              <w:rPr>
                <w:rFonts w:ascii="黑体" w:hAnsi="黑体" w:cs="黑体" w:eastAsia="黑体"/>
                <w:sz w:val="23"/>
                <w:spacing w:val="0"/>
                <w:color w:val="000000"/>
                <w:b w:val="off"/>
                <w:i w:val="off"/>
              </w:rPr>
              <w:t>赛道名称</w:t>
            </w:r>
            <w:bookmarkEnd w:id="1415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16"/>
            <w:r>
              <w:rPr>
                <w:rFonts w:ascii="黑体" w:hAnsi="黑体" w:cs="黑体" w:eastAsia="黑体"/>
                <w:sz w:val="23"/>
                <w:spacing w:val="0"/>
                <w:color w:val="000000"/>
                <w:b w:val="off"/>
                <w:i w:val="off"/>
              </w:rPr>
              <w:t>对应专业类及专业</w:t>
            </w:r>
            <w:bookmarkEnd w:id="1416"/>
          </w:p>
        </w:tc>
      </w:tr>
      <w:tr>
        <w:trPr>
          <w:trHeight w:hRule="atLeast" w:val="70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17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38</w:t>
            </w:r>
            <w:bookmarkEnd w:id="1417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18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新闻传播赛道</w:t>
            </w:r>
            <w:bookmarkEnd w:id="1418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19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新闻出版类、广播影视类</w:t>
            </w:r>
            <w:bookmarkEnd w:id="1419"/>
          </w:p>
        </w:tc>
      </w:tr>
      <w:tr>
        <w:trPr>
          <w:trHeight w:hRule="atLeast" w:val="64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0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39</w:t>
            </w:r>
            <w:bookmarkEnd w:id="1420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1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教育与体育赛道</w:t>
            </w:r>
            <w:bookmarkEnd w:id="1421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2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教育类、语言类、体育类</w:t>
            </w:r>
            <w:bookmarkEnd w:id="1422"/>
          </w:p>
        </w:tc>
      </w:tr>
      <w:tr>
        <w:trPr>
          <w:trHeight w:hRule="atLeast" w:val="218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3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40</w:t>
            </w:r>
            <w:bookmarkEnd w:id="1423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4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公共安全、管理与服务赛</w:t>
            </w:r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道</w:t>
            </w:r>
            <w:bookmarkEnd w:id="1424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5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公安技术类、公共管理类、司法技术类、法律实务</w:t>
            </w:r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类、安全防范类、文秘类、公安管理类、公共事业</w:t>
            </w:r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类、侦查类、法律执行类、公共服务类(高职专科</w:t>
            </w:r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专业：婚庆服务与管理、现代殡葬技术与管理、殡</w:t>
            </w:r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葬设备维护技术、陵园服务与管理，职教本科专业：</w:t>
            </w:r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现代殡葬管理)</w:t>
            </w:r>
            <w:bookmarkEnd w:id="1425"/>
          </w:p>
        </w:tc>
      </w:tr>
      <w:tr>
        <w:trPr>
          <w:trHeight w:hRule="atLeast" w:val="720"/>
        </w:trPr>
        <w:tc>
          <w:tcPr>
            <w:tcW w:w="9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6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41</w:t>
            </w:r>
            <w:bookmarkEnd w:id="1426"/>
          </w:p>
        </w:tc>
        <w:tc>
          <w:tcPr>
            <w:tcW w:w="268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7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人工智能赛道</w:t>
            </w:r>
            <w:bookmarkEnd w:id="1427"/>
          </w:p>
        </w:tc>
        <w:tc>
          <w:tcPr>
            <w:tcW w:w="50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bookmarkStart w:name="" w:id="1428"/>
            <w:r>
              <w:rPr>
                <w:rFonts w:ascii="仿宋" w:hAnsi="仿宋" w:cs="仿宋" w:eastAsia="仿宋"/>
                <w:sz w:val="23"/>
                <w:spacing w:val="0"/>
                <w:color w:val="000000"/>
                <w:b w:val="off"/>
                <w:i w:val="off"/>
              </w:rPr>
              <w:t>不限专业</w:t>
            </w:r>
            <w:bookmarkEnd w:id="1428"/>
          </w:p>
        </w:tc>
      </w:tr>
    </w:tbl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29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29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0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0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1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1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2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2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3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3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4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4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5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5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6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6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7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7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8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8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39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39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0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0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1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1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2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2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3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3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4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4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5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5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6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6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7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7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8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8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49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49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50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50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51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51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52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52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53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53"/>
    </w:p>
    <w:p>
      <w:pPr>
        <w:pageBreakBefore w:val="off"/>
        <w:tabs/>
        <w:wordWrap w:val="off"/>
        <w:spacing w:before="0" w:after="0" w:line="300" w:lineRule="exact"/>
        <w:ind w:left="0" w:right="0"/>
        <w:jc w:val="left"/>
        <w:textAlignment w:val="baseline"/>
        <w:rPr>
          <w:sz w:val="21"/>
        </w:rPr>
      </w:pPr>
      <w:bookmarkStart w:name="" w:id="1454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/>
      </w:r>
      <w:bookmarkEnd w:id="1454"/>
    </w:p>
    <w:p>
      <w:pPr>
        <w:pageBreakBefore w:val="off"/>
        <w:tabs/>
        <w:wordWrap w:val="off"/>
        <w:spacing w:before="0" w:after="0" w:line="300" w:lineRule="atLeast"/>
        <w:ind w:left="140" w:right="0"/>
        <w:jc w:val="both"/>
        <w:textAlignment w:val="baseline"/>
        <w:rPr>
          <w:sz w:val="21"/>
        </w:rPr>
        <w:sectPr>
          <w:footerReference r:id="rId33"/>
          <w:headerReference r:id="rId34" w:type="default"/>
          <w:type w:val="nextPage"/>
          <w:pgSz w:w="11900" w:h="16820"/>
          <w:pgMar w:left="1640" w:top="1420" w:right="1640" w:bottom="1420" w:header="1120" w:footer="1120"/>
          <w:cols w:num="1"/>
        </w:sectPr>
      </w:pPr>
      <w:bookmarkStart w:name="" w:id="1455"/>
      <w:r>
        <w:rPr>
          <w:rFonts w:ascii="宋体" w:hAnsi="宋体" w:cs="宋体" w:eastAsia="宋体"/>
          <w:sz w:val="21"/>
          <w:spacing w:val="0"/>
          <w:color w:val="000000"/>
          <w:b w:val="off"/>
          <w:i w:val="off"/>
        </w:rPr>
        <w:t>—16—</w:t>
      </w:r>
      <w:bookmarkEnd w:id="1455"/>
    </w:p>
    <w:p>
      <w:pPr>
        <w:pageBreakBefore w:val="off"/>
        <w:tabs/>
        <w:wordWrap w:val="off"/>
        <w:spacing w:before="640" w:after="0" w:line="480" w:lineRule="atLeast"/>
        <w:ind w:left="20" w:right="0"/>
        <w:jc w:val="both"/>
        <w:textAlignment w:val="baseline"/>
        <w:rPr>
          <w:sz w:val="35"/>
        </w:rPr>
      </w:pPr>
      <w:bookmarkStart w:name="" w:id="1456"/>
      <w:r>
        <w:rPr>
          <w:rFonts w:ascii="黑体" w:hAnsi="黑体" w:cs="黑体" w:eastAsia="黑体"/>
          <w:sz w:val="35"/>
          <w:spacing w:val="0"/>
          <w:color w:val="000000"/>
          <w:b w:val="off"/>
          <w:i w:val="off"/>
        </w:rPr>
        <w:t>附件3</w:t>
      </w:r>
      <w:bookmarkEnd w:id="1456"/>
    </w:p>
    <w:p>
      <w:pPr>
        <w:pageBreakBefore w:val="off"/>
        <w:tabs/>
        <w:wordWrap w:val="off"/>
        <w:spacing w:before="0" w:after="0" w:line="560" w:lineRule="atLeast"/>
        <w:ind w:left="0" w:right="0"/>
        <w:jc w:val="center"/>
        <w:textAlignment w:val="baseline"/>
        <w:rPr>
          <w:sz w:val="41"/>
        </w:rPr>
      </w:pPr>
      <w:bookmarkStart w:name="" w:id="1457"/>
      <w:r>
        <w:rPr>
          <w:rFonts w:ascii="宋体" w:hAnsi="宋体" w:cs="宋体" w:eastAsia="宋体"/>
          <w:sz w:val="41"/>
          <w:spacing w:val="0"/>
          <w:color w:val="000000"/>
          <w:b w:val="off"/>
          <w:i w:val="off"/>
        </w:rPr>
        <w:t>第十八届山东省职业院校技能大赛</w:t>
      </w:r>
      <w:bookmarkEnd w:id="1457"/>
    </w:p>
    <w:p>
      <w:pPr>
        <w:pageBreakBefore w:val="off"/>
        <w:tabs/>
        <w:wordWrap w:val="off"/>
        <w:spacing w:before="0" w:after="0" w:line="560" w:lineRule="atLeast"/>
        <w:ind w:left="0" w:right="0"/>
        <w:jc w:val="center"/>
        <w:textAlignment w:val="baseline"/>
        <w:rPr>
          <w:sz w:val="41"/>
        </w:rPr>
      </w:pPr>
      <w:bookmarkStart w:name="" w:id="1458"/>
      <w:r>
        <w:rPr>
          <w:rFonts w:ascii="宋体" w:hAnsi="宋体" w:cs="宋体" w:eastAsia="宋体"/>
          <w:sz w:val="41"/>
          <w:spacing w:val="0"/>
          <w:color w:val="000000"/>
          <w:b w:val="off"/>
          <w:i w:val="off"/>
        </w:rPr>
        <w:t>评分要素</w:t>
      </w:r>
      <w:bookmarkEnd w:id="1458"/>
    </w:p>
    <w:tbl>
      <w:tblPr>
        <w:tblW w:w="0" w:type="auto"/>
        <w:jc w:val="start"/>
        <w:tblInd w:type="dxa" w:w="2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40"/>
        <w:gridCol w:w="2240"/>
        <w:gridCol w:w="4700"/>
      </w:tblGrid>
      <w:tr>
        <w:trPr>
          <w:trHeight w:hRule="atLeast" w:val="560"/>
        </w:trPr>
        <w:tc>
          <w:tcPr>
            <w:tcW w:w="13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59"/>
            <w:r>
              <w:rPr>
                <w:rFonts w:ascii="黑体" w:hAnsi="黑体" w:cs="黑体" w:eastAsia="黑体"/>
                <w:sz w:val="20"/>
                <w:spacing w:val="0"/>
                <w:color w:val="000000"/>
                <w:b w:val="off"/>
                <w:i w:val="off"/>
              </w:rPr>
              <w:t>评分指标</w:t>
            </w:r>
            <w:bookmarkEnd w:id="1459"/>
          </w:p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bookmarkStart w:name="" w:id="1460"/>
            <w:r>
              <w:rPr>
                <w:rFonts w:ascii="黑体" w:hAnsi="黑体" w:cs="黑体" w:eastAsia="黑体"/>
                <w:sz w:val="20"/>
                <w:spacing w:val="0"/>
                <w:color w:val="000000"/>
                <w:b w:val="off"/>
                <w:i w:val="off"/>
              </w:rPr>
              <w:t>观 测 点</w:t>
            </w:r>
            <w:bookmarkEnd w:id="1460"/>
          </w:p>
        </w:tc>
        <w:tc>
          <w:tcPr>
            <w:tcW w:w="4700" w:type="dxa"/>
            <w:vAlign w:val="center"/>
          </w:tcPr>
          <w:p>
            <w:pPr>
              <w:pageBreakBefore w:val="off"/>
              <w:tabs>
                <w:tab w:pos="2620" w:val="left" w:leader="none"/>
              </w:tabs>
              <w:wordWrap w:val="off"/>
              <w:spacing w:before="0" w:after="0" w:line="260" w:lineRule="atLeast"/>
              <w:ind w:left="1800" w:right="0"/>
              <w:jc w:val="both"/>
              <w:textAlignment w:val="baseline"/>
              <w:rPr>
                <w:sz w:val="20"/>
              </w:rPr>
            </w:pPr>
            <w:bookmarkStart w:name="" w:id="1461"/>
            <w:r>
              <w:rPr>
                <w:rFonts w:ascii="黑体" w:hAnsi="黑体" w:cs="黑体" w:eastAsia="黑体"/>
                <w:sz w:val="20"/>
                <w:spacing w:val="0"/>
                <w:color w:val="000000"/>
                <w:b w:val="off"/>
                <w:i w:val="off"/>
              </w:rPr>
              <w:t>说</w:t>
            </w:r>
            <w:r>
              <w:t xml:space="preserve">	</w:t>
            </w:r>
            <w:r>
              <w:rPr>
                <w:rFonts w:ascii="黑体" w:hAnsi="黑体" w:cs="黑体" w:eastAsia="黑体"/>
                <w:sz w:val="20"/>
                <w:spacing w:val="0"/>
                <w:color w:val="000000"/>
                <w:b w:val="off"/>
                <w:i w:val="off"/>
              </w:rPr>
              <w:t>明</w:t>
            </w:r>
            <w:bookmarkEnd w:id="1461"/>
          </w:p>
        </w:tc>
      </w:tr>
      <w:tr>
        <w:trPr>
          <w:trHeight w:hRule="atLeast" w:val="480"/>
        </w:trPr>
        <w:tc>
          <w:tcPr>
            <w:tcW w:w="13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2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一、技能水平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(权重60%,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60分)</w:t>
            </w:r>
            <w:bookmarkEnd w:id="1462"/>
          </w:p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3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1.操作规范性(10分)</w:t>
            </w:r>
            <w:bookmarkEnd w:id="1463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4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技能操作规范，符合行业标准和岗位要求。</w:t>
            </w:r>
            <w:bookmarkEnd w:id="1464"/>
          </w:p>
        </w:tc>
      </w:tr>
      <w:tr>
        <w:trPr>
          <w:trHeight w:hRule="atLeast" w:val="70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5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2.技能熟练度(15分)</w:t>
            </w:r>
            <w:bookmarkEnd w:id="1465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6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知识技术应用和软硬件等工具使用熟练，操作流畅，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运用精准，任务进度控制和时间利用合理。</w:t>
            </w:r>
            <w:bookmarkEnd w:id="1466"/>
          </w:p>
        </w:tc>
      </w:tr>
      <w:tr>
        <w:trPr>
          <w:trHeight w:hRule="atLeast" w:val="88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7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3.任务难易度(15分)</w:t>
            </w:r>
            <w:bookmarkEnd w:id="1467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8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工作任务完整，突出关键技术，具有一定挑战性，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需要较高技能操作水平和解决复杂问题的综合能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力。</w:t>
            </w:r>
            <w:bookmarkEnd w:id="1468"/>
          </w:p>
        </w:tc>
      </w:tr>
      <w:tr>
        <w:trPr>
          <w:trHeight w:hRule="atLeast" w:val="70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69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4.技术先进性(15分)</w:t>
            </w:r>
            <w:bookmarkEnd w:id="1469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0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体现所属行业新标准、新技术、新场景应用，积极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应用前沿技术、数字化技术，技术选择恰当。</w:t>
            </w:r>
            <w:bookmarkEnd w:id="1470"/>
          </w:p>
        </w:tc>
      </w:tr>
      <w:tr>
        <w:trPr>
          <w:trHeight w:hRule="atLeast" w:val="54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1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5.现场讲解效果(5分)</w:t>
            </w:r>
            <w:bookmarkEnd w:id="1471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2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讲解内容逻辑清晰，重点突出，表达准确。</w:t>
            </w:r>
            <w:bookmarkEnd w:id="1472"/>
          </w:p>
        </w:tc>
      </w:tr>
      <w:tr>
        <w:trPr>
          <w:trHeight w:hRule="atLeast" w:val="720"/>
        </w:trPr>
        <w:tc>
          <w:tcPr>
            <w:tcW w:w="13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3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二、职业素养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(权重10%,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10分)</w:t>
            </w:r>
            <w:bookmarkEnd w:id="1473"/>
          </w:p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60" w:right="0" w:hanging="60"/>
              <w:jc w:val="both"/>
              <w:textAlignment w:val="baseline"/>
              <w:rPr>
                <w:sz w:val="20"/>
              </w:rPr>
            </w:pPr>
            <w:bookmarkStart w:name="" w:id="1474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1.职业道德与行为规范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(4分)</w:t>
            </w:r>
            <w:bookmarkEnd w:id="1474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5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诚信守法，尊重知识产权，遵守职业伦理，展现良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好职业风貌。</w:t>
            </w:r>
            <w:bookmarkEnd w:id="1475"/>
          </w:p>
        </w:tc>
      </w:tr>
      <w:tr>
        <w:trPr>
          <w:trHeight w:hRule="atLeast" w:val="62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6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2.工匠精神(3分)</w:t>
            </w:r>
            <w:bookmarkEnd w:id="1476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7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注重细节，精益求精，追求卓越，体现管理意识和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质量意识。</w:t>
            </w:r>
            <w:bookmarkEnd w:id="1477"/>
          </w:p>
        </w:tc>
      </w:tr>
      <w:tr>
        <w:trPr>
          <w:trHeight w:hRule="atLeast" w:val="60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8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3.安全意识(3分)</w:t>
            </w:r>
            <w:bookmarkEnd w:id="1478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79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严格遵守安全规范，具备劳动保护和风险防范意识。</w:t>
            </w:r>
            <w:bookmarkEnd w:id="1479"/>
          </w:p>
        </w:tc>
      </w:tr>
      <w:tr>
        <w:trPr>
          <w:trHeight w:hRule="atLeast" w:val="1100"/>
        </w:trPr>
        <w:tc>
          <w:tcPr>
            <w:tcW w:w="13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0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三、应用价值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(权重10%,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10分)</w:t>
            </w:r>
            <w:bookmarkEnd w:id="1480"/>
          </w:p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1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1.实用性(4分)</w:t>
            </w:r>
            <w:bookmarkEnd w:id="1481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2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解决方案可直接应用于实践，有效解决生产、生活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中的实际问题，契合产业转型升级、区域经济社会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发展、乡村振兴、促进高质量就业等国家战略需求。</w:t>
            </w:r>
            <w:bookmarkEnd w:id="1482"/>
          </w:p>
        </w:tc>
      </w:tr>
      <w:tr>
        <w:trPr>
          <w:trHeight w:hRule="atLeast" w:val="52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3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2.经济性(3分)</w:t>
            </w:r>
            <w:bookmarkEnd w:id="1483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4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资源利用合理，体现高效益、高质量。</w:t>
            </w:r>
            <w:bookmarkEnd w:id="1484"/>
          </w:p>
        </w:tc>
      </w:tr>
      <w:tr>
        <w:trPr>
          <w:trHeight w:hRule="atLeast" w:val="74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5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3.可持续性(3分)</w:t>
            </w:r>
            <w:bookmarkEnd w:id="1485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6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具有良好环保意识，绿色低碳，符合产业未来发展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方向。</w:t>
            </w:r>
            <w:bookmarkEnd w:id="1486"/>
          </w:p>
        </w:tc>
      </w:tr>
      <w:tr>
        <w:trPr>
          <w:trHeight w:hRule="atLeast" w:val="1060"/>
        </w:trPr>
        <w:tc>
          <w:tcPr>
            <w:tcW w:w="134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7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四、团队合作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(权重10%,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n"/>
                <w:i w:val="off"/>
              </w:rPr>
              <w:t>10分)</w:t>
            </w:r>
            <w:bookmarkEnd w:id="1487"/>
          </w:p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8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1.团队精神(5分)</w:t>
            </w:r>
            <w:bookmarkEnd w:id="1488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89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团队成员能够准确理解共同目标和任务，清楚自己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的角色定位和职责，团队成员相互尊重、信任和支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持，拥有良好的团队氛围。</w:t>
            </w:r>
            <w:bookmarkEnd w:id="1489"/>
          </w:p>
        </w:tc>
      </w:tr>
      <w:tr>
        <w:trPr>
          <w:trHeight w:hRule="atLeast" w:val="840"/>
        </w:trPr>
        <w:tc>
          <w:tcPr>
            <w:tcW w:w="134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90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2.沟通协作(5分)</w:t>
            </w:r>
            <w:bookmarkEnd w:id="1490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bookmarkStart w:name="" w:id="1491"/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团队成员在比赛中能够有效沟通、紧密协作，能够</w:t>
            </w:r>
            <w:r>
              <w:rPr>
                <w:rFonts w:ascii="仿宋" w:hAnsi="仿宋" w:cs="仿宋" w:eastAsia="仿宋"/>
                <w:sz w:val="20"/>
                <w:spacing w:val="0"/>
                <w:color w:val="000000"/>
                <w:b w:val="off"/>
                <w:i w:val="off"/>
              </w:rPr>
              <w:t>相互补台，共同应对突发情况。</w:t>
            </w:r>
            <w:bookmarkEnd w:id="1491"/>
          </w:p>
        </w:tc>
      </w:tr>
    </w:tbl>
    <w:p>
      <w:pPr>
        <w:pageBreakBefore w:val="off"/>
        <w:tabs/>
        <w:wordWrap w:val="off"/>
        <w:spacing w:before="160" w:after="0" w:line="300" w:lineRule="atLeast"/>
        <w:ind w:left="0" w:right="320"/>
        <w:jc w:val="right"/>
        <w:textAlignment w:val="baseline"/>
        <w:rPr>
          <w:sz w:val="21"/>
        </w:rPr>
        <w:sectPr>
          <w:footerReference r:id="rId35"/>
          <w:headerReference r:id="rId36" w:type="default"/>
          <w:type w:val="nextPage"/>
          <w:pgSz w:w="11900" w:h="16820"/>
          <w:pgMar w:left="1780" w:top="1420" w:right="1780" w:bottom="1420" w:header="1120" w:footer="1120"/>
          <w:cols w:num="1"/>
        </w:sectPr>
      </w:pPr>
      <w:bookmarkStart w:name="" w:id="1492"/>
      <w:r>
        <w:rPr>
          <w:rFonts w:ascii="仿宋" w:hAnsi="仿宋" w:cs="仿宋" w:eastAsia="仿宋"/>
          <w:sz w:val="21"/>
          <w:spacing w:val="0"/>
          <w:color w:val="000000"/>
          <w:b w:val="off"/>
          <w:i w:val="off"/>
        </w:rPr>
        <w:t>—17—</w:t>
      </w:r>
      <w:bookmarkEnd w:id="1492"/>
    </w:p>
    <w:tbl>
      <w:tblPr>
        <w:tblW w:w="0" w:type="auto"/>
        <w:jc w:val="star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20"/>
        <w:gridCol w:w="2260"/>
        <w:gridCol w:w="4700"/>
      </w:tblGrid>
      <w:tr>
        <w:trPr>
          <w:trHeight w:hRule="atLeast" w:val="720"/>
        </w:trPr>
        <w:tc>
          <w:tcPr>
            <w:tcW w:w="132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bookmarkStart w:name="" w:id="1493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评分指标</w:t>
            </w:r>
            <w:bookmarkEnd w:id="1493"/>
          </w:p>
        </w:tc>
        <w:tc>
          <w:tcPr>
            <w:tcW w:w="2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bookmarkStart w:name="" w:id="1494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观 测 点</w:t>
            </w:r>
            <w:bookmarkEnd w:id="1494"/>
          </w:p>
        </w:tc>
        <w:tc>
          <w:tcPr>
            <w:tcW w:w="4700" w:type="dxa"/>
            <w:vAlign w:val="center"/>
          </w:tcPr>
          <w:p>
            <w:pPr>
              <w:pageBreakBefore w:val="off"/>
              <w:tabs>
                <w:tab w:pos="2620" w:val="left" w:leader="none"/>
              </w:tabs>
              <w:wordWrap w:val="off"/>
              <w:spacing w:before="0" w:after="0" w:line="280" w:lineRule="atLeast"/>
              <w:ind w:left="1800" w:right="0"/>
              <w:jc w:val="both"/>
              <w:textAlignment w:val="baseline"/>
              <w:rPr>
                <w:sz w:val="21"/>
              </w:rPr>
            </w:pPr>
            <w:bookmarkStart w:name="" w:id="1495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说</w:t>
            </w:r>
            <w:r>
              <w:t xml:space="preserve">	</w:t>
            </w:r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明</w:t>
            </w:r>
            <w:bookmarkEnd w:id="1495"/>
          </w:p>
        </w:tc>
      </w:tr>
      <w:tr>
        <w:trPr>
          <w:trHeight w:hRule="atLeast" w:val="820"/>
        </w:trPr>
        <w:tc>
          <w:tcPr>
            <w:tcW w:w="1320" w:type="dxa"/>
            <w:vMerge w:val="restart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bookmarkStart w:name="" w:id="1496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n"/>
                <w:i w:val="off"/>
              </w:rPr>
              <w:t>五、创新创意</w:t>
            </w:r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(权重10%,</w:t>
            </w:r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10分)</w:t>
            </w:r>
            <w:bookmarkEnd w:id="1496"/>
          </w:p>
        </w:tc>
        <w:tc>
          <w:tcPr>
            <w:tcW w:w="2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497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1.创新意识(4分)</w:t>
            </w:r>
            <w:bookmarkEnd w:id="1497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20" w:right="0" w:hanging="20"/>
              <w:jc w:val="both"/>
              <w:textAlignment w:val="baseline"/>
              <w:rPr>
                <w:sz w:val="21"/>
              </w:rPr>
            </w:pPr>
            <w:bookmarkStart w:name="" w:id="1498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体现原始创意、创新和团队成员创新精神、创新能</w:t>
            </w:r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力。</w:t>
            </w:r>
            <w:bookmarkEnd w:id="1498"/>
          </w:p>
        </w:tc>
      </w:tr>
      <w:tr>
        <w:trPr>
          <w:trHeight w:hRule="atLeast" w:val="1580"/>
        </w:trPr>
        <w:tc>
          <w:tcPr>
            <w:tcW w:w="1320" w:type="dxa"/>
            <w:vMerge w:val="continue"/>
          </w:tcPr>
          <w:p/>
        </w:tc>
        <w:tc>
          <w:tcPr>
            <w:tcW w:w="226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499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2.创新成效(6分)</w:t>
            </w:r>
            <w:bookmarkEnd w:id="1499"/>
          </w:p>
        </w:tc>
        <w:tc>
          <w:tcPr>
            <w:tcW w:w="4700" w:type="dxa"/>
            <w:vAlign w:val="center"/>
          </w:tcPr>
          <w:p>
            <w:pPr>
              <w:pageBreakBefore w:val="off"/>
              <w:tabs/>
              <w:wordWrap w:val="off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bookmarkStart w:name="" w:id="1500"/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在要素整合、新技术应用、工艺流程改进、服务模</w:t>
            </w:r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式优化等方面具有原创性，侧重加工工艺创新、实</w:t>
            </w:r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用技术创新、产品(技术)数字化改良、应用性优</w:t>
            </w:r>
            <w:r>
              <w:rPr>
                <w:rFonts w:ascii="仿宋" w:hAnsi="仿宋" w:cs="仿宋" w:eastAsia="仿宋"/>
                <w:sz w:val="21"/>
                <w:spacing w:val="0"/>
                <w:color w:val="000000"/>
                <w:b w:val="off"/>
                <w:i w:val="off"/>
              </w:rPr>
              <w:t>化、民生类创意等。</w:t>
            </w:r>
            <w:bookmarkEnd w:id="1500"/>
          </w:p>
        </w:tc>
      </w:tr>
    </w:tbl>
    <w:p>
      <w:pPr>
        <w:pageBreakBefore w:val="off"/>
        <w:tabs/>
        <w:wordWrap w:val="off"/>
        <w:spacing w:before="0" w:after="0" w:line="600" w:lineRule="exact"/>
        <w:ind w:left="0" w:right="0"/>
        <w:jc w:val="left"/>
        <w:textAlignment w:val="baseline"/>
        <w:rPr>
          <w:sz w:val="25"/>
        </w:rPr>
      </w:pPr>
      <w:bookmarkStart w:name="" w:id="1501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01"/>
    </w:p>
    <w:p>
      <w:pPr>
        <w:pageBreakBefore w:val="off"/>
        <w:tabs/>
        <w:wordWrap w:val="off"/>
        <w:spacing w:before="0" w:after="0" w:line="600" w:lineRule="atLeast"/>
        <w:ind w:left="60" w:right="0"/>
        <w:jc w:val="both"/>
        <w:textAlignment w:val="baseline"/>
        <w:rPr>
          <w:sz w:val="25"/>
        </w:rPr>
      </w:pPr>
      <w:bookmarkStart w:name="" w:id="1502"/>
      <w:r>
        <w:rPr>
          <w:rFonts w:ascii="仿宋" w:hAnsi="仿宋" w:cs="仿宋" w:eastAsia="仿宋"/>
          <w:sz w:val="25"/>
          <w:spacing w:val="0"/>
          <w:color w:val="000000"/>
          <w:b w:val="on"/>
          <w:i w:val="off"/>
        </w:rPr>
        <w:t>说明：</w:t>
      </w:r>
      <w:bookmarkEnd w:id="1502"/>
    </w:p>
    <w:p>
      <w:pPr>
        <w:pageBreakBefore w:val="off"/>
        <w:tabs/>
        <w:wordWrap w:val="off"/>
        <w:spacing w:before="0" w:after="0" w:line="600" w:lineRule="atLeast"/>
        <w:ind w:left="60" w:right="40" w:firstLine="500"/>
        <w:jc w:val="both"/>
        <w:textAlignment w:val="baseline"/>
        <w:rPr>
          <w:sz w:val="25"/>
        </w:rPr>
      </w:pPr>
      <w:bookmarkStart w:name="" w:id="1503"/>
      <w:r>
        <w:rPr>
          <w:rFonts w:ascii="仿宋" w:hAnsi="仿宋" w:cs="仿宋" w:eastAsia="仿宋"/>
          <w:sz w:val="25"/>
          <w:spacing w:val="0"/>
          <w:color w:val="000000"/>
          <w:b w:val="off"/>
          <w:i w:val="off"/>
        </w:rPr>
        <w:t>1.评分原则为“突出能力导向、解决实际问题、体现创新因素、确保</w:t>
      </w:r>
      <w:r>
        <w:rPr>
          <w:rFonts w:ascii="仿宋" w:hAnsi="仿宋" w:cs="仿宋" w:eastAsia="仿宋"/>
          <w:sz w:val="25"/>
          <w:spacing w:val="0"/>
          <w:color w:val="000000"/>
          <w:b w:val="off"/>
          <w:i w:val="off"/>
        </w:rPr>
        <w:t>公平可比”；</w:t>
      </w:r>
      <w:bookmarkEnd w:id="1503"/>
    </w:p>
    <w:p>
      <w:pPr>
        <w:pageBreakBefore w:val="off"/>
        <w:tabs/>
        <w:wordWrap w:val="off"/>
        <w:spacing w:before="0" w:after="0" w:line="600" w:lineRule="atLeast"/>
        <w:ind w:left="60" w:right="40" w:firstLine="500"/>
        <w:jc w:val="both"/>
        <w:textAlignment w:val="baseline"/>
        <w:rPr>
          <w:sz w:val="25"/>
        </w:rPr>
      </w:pPr>
      <w:bookmarkStart w:name="" w:id="1504"/>
      <w:r>
        <w:rPr>
          <w:rFonts w:ascii="仿宋" w:hAnsi="仿宋" w:cs="仿宋" w:eastAsia="仿宋"/>
          <w:sz w:val="25"/>
          <w:spacing w:val="0"/>
          <w:color w:val="000000"/>
          <w:b w:val="off"/>
          <w:i w:val="off"/>
        </w:rPr>
        <w:t>2.评分要素充分体现综合育人功能，突出教育教学改革创新，共5</w:t>
      </w:r>
      <w:r>
        <w:rPr>
          <w:rFonts w:ascii="仿宋" w:hAnsi="仿宋" w:cs="仿宋" w:eastAsia="仿宋"/>
          <w:sz w:val="25"/>
          <w:spacing w:val="0"/>
          <w:color w:val="000000"/>
          <w:b w:val="off"/>
          <w:i w:val="off"/>
        </w:rPr>
        <w:t>项评分指标，总分100分；</w:t>
      </w:r>
      <w:bookmarkEnd w:id="1504"/>
    </w:p>
    <w:p>
      <w:pPr>
        <w:pageBreakBefore w:val="off"/>
        <w:tabs/>
        <w:wordWrap w:val="off"/>
        <w:spacing w:before="0" w:after="0" w:line="600" w:lineRule="atLeast"/>
        <w:ind w:left="560" w:right="0"/>
        <w:jc w:val="both"/>
        <w:textAlignment w:val="baseline"/>
        <w:rPr>
          <w:sz w:val="25"/>
        </w:rPr>
      </w:pPr>
      <w:bookmarkStart w:name="" w:id="1505"/>
      <w:r>
        <w:rPr>
          <w:rFonts w:ascii="仿宋" w:hAnsi="仿宋" w:cs="仿宋" w:eastAsia="仿宋"/>
          <w:sz w:val="25"/>
          <w:spacing w:val="0"/>
          <w:color w:val="000000"/>
          <w:b w:val="off"/>
          <w:i w:val="off"/>
        </w:rPr>
        <w:t>3.每项评分指标包括若干评分观测点，每个观测点有明确的分值；</w:t>
      </w:r>
      <w:bookmarkEnd w:id="1505"/>
    </w:p>
    <w:p>
      <w:pPr>
        <w:pageBreakBefore w:val="off"/>
        <w:tabs/>
        <w:wordWrap w:val="off"/>
        <w:spacing w:before="0" w:after="0" w:line="600" w:lineRule="atLeast"/>
        <w:ind w:left="60" w:right="40" w:firstLine="500"/>
        <w:jc w:val="both"/>
        <w:textAlignment w:val="baseline"/>
        <w:rPr>
          <w:sz w:val="25"/>
        </w:rPr>
      </w:pPr>
      <w:bookmarkStart w:name="" w:id="1506"/>
      <w:r>
        <w:rPr>
          <w:rFonts w:ascii="仿宋" w:hAnsi="仿宋" w:cs="仿宋" w:eastAsia="仿宋"/>
          <w:sz w:val="25"/>
          <w:spacing w:val="0"/>
          <w:color w:val="000000"/>
          <w:b w:val="off"/>
          <w:i w:val="off"/>
        </w:rPr>
        <w:t>4.评委依据观测点及说明，根据参赛团队的技能操作和现场讲解情况</w:t>
      </w:r>
      <w:r>
        <w:rPr>
          <w:rFonts w:ascii="仿宋" w:hAnsi="仿宋" w:cs="仿宋" w:eastAsia="仿宋"/>
          <w:sz w:val="25"/>
          <w:spacing w:val="0"/>
          <w:color w:val="000000"/>
          <w:b w:val="off"/>
          <w:i w:val="off"/>
        </w:rPr>
        <w:t>进行评分，避免主观印象影响。</w:t>
      </w:r>
      <w:bookmarkEnd w:id="1506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5"/>
        </w:rPr>
      </w:pPr>
      <w:bookmarkStart w:name="" w:id="1507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07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5"/>
        </w:rPr>
      </w:pPr>
      <w:bookmarkStart w:name="" w:id="1508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08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5"/>
        </w:rPr>
      </w:pPr>
      <w:bookmarkStart w:name="" w:id="1509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09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5"/>
        </w:rPr>
      </w:pPr>
      <w:bookmarkStart w:name="" w:id="1510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10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5"/>
        </w:rPr>
      </w:pPr>
      <w:bookmarkStart w:name="" w:id="1511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11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5"/>
        </w:rPr>
      </w:pPr>
      <w:bookmarkStart w:name="" w:id="1512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12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25"/>
        </w:rPr>
      </w:pPr>
      <w:bookmarkStart w:name="" w:id="1513"/>
      <w:r>
        <w:rPr>
          <w:rFonts w:ascii="宋体" w:hAnsi="宋体" w:cs="宋体" w:eastAsia="宋体"/>
          <w:sz w:val="25"/>
          <w:spacing w:val="0"/>
          <w:color w:val="000000"/>
          <w:b w:val="off"/>
          <w:i w:val="off"/>
        </w:rPr>
        <w:t/>
      </w:r>
      <w:bookmarkEnd w:id="1513"/>
    </w:p>
    <w:p>
      <w:pPr>
        <w:pageBreakBefore w:val="off"/>
        <w:tabs/>
        <w:wordWrap w:val="off"/>
        <w:spacing w:before="0" w:after="0" w:line="280" w:lineRule="atLeast"/>
        <w:ind w:left="360" w:right="0"/>
        <w:jc w:val="both"/>
        <w:textAlignment w:val="baseline"/>
        <w:rPr>
          <w:sz w:val="20"/>
        </w:rPr>
      </w:pPr>
      <w:bookmarkStart w:name="" w:id="1514"/>
      <w:r>
        <w:rPr>
          <w:rFonts w:ascii="仿宋" w:hAnsi="仿宋" w:cs="仿宋" w:eastAsia="仿宋"/>
          <w:sz w:val="20"/>
          <w:spacing w:val="0"/>
          <w:color w:val="000000"/>
          <w:b w:val="off"/>
          <w:i w:val="off"/>
        </w:rPr>
        <w:t>—18—</w:t>
      </w:r>
      <w:bookmarkEnd w:id="1514"/>
    </w:p>
    <w:sectPr>
      <w:footerReference r:id="rId37"/>
      <w:headerReference r:id="rId38" w:type="default"/>
      <w:type w:val="nextPage"/>
      <w:pgSz w:w="11900" w:h="16820"/>
      <w:pgMar w:left="1780" w:top="1420" w:right="1780" w:bottom="1420" w:header="1120" w:footer="1120"/>
      <w:cols w:num="1"/>
    </w:sectPr>
  </w:body>
</w:document>
</file>

<file path=word/footer1.xml><?xml version="1.0" encoding="utf-8"?>
<w:ftr xmlns:w="http://schemas.openxmlformats.org/wordprocessingml/2006/main">
  <w:p/>
</w:ftr>
</file>

<file path=word/footer10.xml><?xml version="1.0" encoding="utf-8"?>
<w:ftr xmlns:w="http://schemas.openxmlformats.org/wordprocessingml/2006/main">
  <w:p/>
</w:ftr>
</file>

<file path=word/footer11.xml><?xml version="1.0" encoding="utf-8"?>
<w:ftr xmlns:w="http://schemas.openxmlformats.org/wordprocessingml/2006/main">
  <w:p/>
</w:ftr>
</file>

<file path=word/footer12.xml><?xml version="1.0" encoding="utf-8"?>
<w:ftr xmlns:w="http://schemas.openxmlformats.org/wordprocessingml/2006/main">
  <w:p/>
</w:ftr>
</file>

<file path=word/footer13.xml><?xml version="1.0" encoding="utf-8"?>
<w:ftr xmlns:w="http://schemas.openxmlformats.org/wordprocessingml/2006/main">
  <w:p/>
</w:ftr>
</file>

<file path=word/footer14.xml><?xml version="1.0" encoding="utf-8"?>
<w:ftr xmlns:w="http://schemas.openxmlformats.org/wordprocessingml/2006/main">
  <w:p/>
</w:ftr>
</file>

<file path=word/footer15.xml><?xml version="1.0" encoding="utf-8"?>
<w:ftr xmlns:w="http://schemas.openxmlformats.org/wordprocessingml/2006/main">
  <w:p/>
</w:ftr>
</file>

<file path=word/footer16.xml><?xml version="1.0" encoding="utf-8"?>
<w:ftr xmlns:w="http://schemas.openxmlformats.org/wordprocessingml/2006/main">
  <w:p/>
</w:ftr>
</file>

<file path=word/footer17.xml><?xml version="1.0" encoding="utf-8"?>
<w:ftr xmlns:w="http://schemas.openxmlformats.org/wordprocessingml/2006/main">
  <w:p/>
</w:ftr>
</file>

<file path=word/footer18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footer8.xml><?xml version="1.0" encoding="utf-8"?>
<w:ftr xmlns:w="http://schemas.openxmlformats.org/wordprocessingml/2006/main">
  <w:p/>
</w:ftr>
</file>

<file path=word/footer9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10.xml><?xml version="1.0" encoding="utf-8"?>
<w:hdr xmlns:w="http://schemas.openxmlformats.org/wordprocessingml/2006/main">
  <w:p/>
</w:hdr>
</file>

<file path=word/header11.xml><?xml version="1.0" encoding="utf-8"?>
<w:hdr xmlns:w="http://schemas.openxmlformats.org/wordprocessingml/2006/main">
  <w:p/>
</w:hdr>
</file>

<file path=word/header12.xml><?xml version="1.0" encoding="utf-8"?>
<w:hdr xmlns:w="http://schemas.openxmlformats.org/wordprocessingml/2006/main">
  <w:p/>
</w:hdr>
</file>

<file path=word/header13.xml><?xml version="1.0" encoding="utf-8"?>
<w:hdr xmlns:w="http://schemas.openxmlformats.org/wordprocessingml/2006/main">
  <w:p/>
</w:hdr>
</file>

<file path=word/header14.xml><?xml version="1.0" encoding="utf-8"?>
<w:hdr xmlns:w="http://schemas.openxmlformats.org/wordprocessingml/2006/main">
  <w:p/>
</w:hdr>
</file>

<file path=word/header15.xml><?xml version="1.0" encoding="utf-8"?>
<w:hdr xmlns:w="http://schemas.openxmlformats.org/wordprocessingml/2006/main">
  <w:p/>
</w:hdr>
</file>

<file path=word/header16.xml><?xml version="1.0" encoding="utf-8"?>
<w:hdr xmlns:w="http://schemas.openxmlformats.org/wordprocessingml/2006/main">
  <w:p/>
</w:hdr>
</file>

<file path=word/header17.xml><?xml version="1.0" encoding="utf-8"?>
<w:hdr xmlns:w="http://schemas.openxmlformats.org/wordprocessingml/2006/main">
  <w:p/>
</w:hdr>
</file>

<file path=word/header18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header9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header4.xml" Type="http://schemas.openxmlformats.org/officeDocument/2006/relationships/header"/><Relationship Id="rId11" Target="footer5.xml" Type="http://schemas.openxmlformats.org/officeDocument/2006/relationships/footer"/><Relationship Id="rId12" Target="header5.xml" Type="http://schemas.openxmlformats.org/officeDocument/2006/relationships/header"/><Relationship Id="rId13" Target="footer6.xml" Type="http://schemas.openxmlformats.org/officeDocument/2006/relationships/footer"/><Relationship Id="rId14" Target="header6.xml" Type="http://schemas.openxmlformats.org/officeDocument/2006/relationships/header"/><Relationship Id="rId15" Target="footer7.xml" Type="http://schemas.openxmlformats.org/officeDocument/2006/relationships/footer"/><Relationship Id="rId16" Target="header7.xml" Type="http://schemas.openxmlformats.org/officeDocument/2006/relationships/header"/><Relationship Id="rId17" Target="footer8.xml" Type="http://schemas.openxmlformats.org/officeDocument/2006/relationships/footer"/><Relationship Id="rId18" Target="header8.xml" Type="http://schemas.openxmlformats.org/officeDocument/2006/relationships/header"/><Relationship Id="rId19" Target="footer9.xml" Type="http://schemas.openxmlformats.org/officeDocument/2006/relationships/footer"/><Relationship Id="rId2" Target="theme/theme-1.xml" Type="http://schemas.openxmlformats.org/officeDocument/2006/relationships/theme"/><Relationship Id="rId20" Target="header9.xml" Type="http://schemas.openxmlformats.org/officeDocument/2006/relationships/header"/><Relationship Id="rId21" Target="footer10.xml" Type="http://schemas.openxmlformats.org/officeDocument/2006/relationships/footer"/><Relationship Id="rId22" Target="header10.xml" Type="http://schemas.openxmlformats.org/officeDocument/2006/relationships/header"/><Relationship Id="rId23" Target="footer11.xml" Type="http://schemas.openxmlformats.org/officeDocument/2006/relationships/footer"/><Relationship Id="rId24" Target="header11.xml" Type="http://schemas.openxmlformats.org/officeDocument/2006/relationships/header"/><Relationship Id="rId25" Target="footer12.xml" Type="http://schemas.openxmlformats.org/officeDocument/2006/relationships/footer"/><Relationship Id="rId26" Target="header12.xml" Type="http://schemas.openxmlformats.org/officeDocument/2006/relationships/header"/><Relationship Id="rId27" Target="footer13.xml" Type="http://schemas.openxmlformats.org/officeDocument/2006/relationships/footer"/><Relationship Id="rId28" Target="header13.xml" Type="http://schemas.openxmlformats.org/officeDocument/2006/relationships/header"/><Relationship Id="rId29" Target="footer14.xml" Type="http://schemas.openxmlformats.org/officeDocument/2006/relationships/footer"/><Relationship Id="rId3" Target="footer1.xml" Type="http://schemas.openxmlformats.org/officeDocument/2006/relationships/footer"/><Relationship Id="rId30" Target="header14.xml" Type="http://schemas.openxmlformats.org/officeDocument/2006/relationships/header"/><Relationship Id="rId31" Target="footer15.xml" Type="http://schemas.openxmlformats.org/officeDocument/2006/relationships/footer"/><Relationship Id="rId32" Target="header15.xml" Type="http://schemas.openxmlformats.org/officeDocument/2006/relationships/header"/><Relationship Id="rId33" Target="footer16.xml" Type="http://schemas.openxmlformats.org/officeDocument/2006/relationships/footer"/><Relationship Id="rId34" Target="header16.xml" Type="http://schemas.openxmlformats.org/officeDocument/2006/relationships/header"/><Relationship Id="rId35" Target="footer17.xml" Type="http://schemas.openxmlformats.org/officeDocument/2006/relationships/footer"/><Relationship Id="rId36" Target="header17.xml" Type="http://schemas.openxmlformats.org/officeDocument/2006/relationships/header"/><Relationship Id="rId37" Target="footer18.xml" Type="http://schemas.openxmlformats.org/officeDocument/2006/relationships/footer"/><Relationship Id="rId38" Target="header18.xml" Type="http://schemas.openxmlformats.org/officeDocument/2006/relationships/header"/><Relationship Id="rId4" Target="header1.xml" Type="http://schemas.openxmlformats.org/officeDocument/2006/relationships/header"/><Relationship Id="rId5" Target="footer2.xml" Type="http://schemas.openxmlformats.org/officeDocument/2006/relationships/footer"/><Relationship Id="rId6" Target="header2.xml" Type="http://schemas.openxmlformats.org/officeDocument/2006/relationships/header"/><Relationship Id="rId7" Target="footer3.xml" Type="http://schemas.openxmlformats.org/officeDocument/2006/relationships/footer"/><Relationship Id="rId8" Target="header3.xml" Type="http://schemas.openxmlformats.org/officeDocument/2006/relationships/header"/><Relationship Id="rId9" Target="footer4.xml" Type="http://schemas.openxmlformats.org/officeDocument/2006/relationships/footer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2025-10-21T07:42:51Z</dcterms:created>
  <dc:creator>Apache POI</dc:creator>
</cp:coreProperties>
</file>